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黑体" w:hAnsi="黑体" w:eastAsia="黑体"/>
          <w:color w:val="auto"/>
          <w:sz w:val="32"/>
          <w:szCs w:val="32"/>
        </w:rPr>
      </w:pPr>
      <w:r>
        <w:rPr>
          <w:rFonts w:hint="eastAsia" w:ascii="黑体" w:hAnsi="黑体" w:eastAsia="黑体"/>
          <w:color w:val="auto"/>
          <w:sz w:val="32"/>
          <w:szCs w:val="32"/>
        </w:rPr>
        <w:t>附件1</w:t>
      </w:r>
    </w:p>
    <w:p>
      <w:pPr>
        <w:spacing w:line="600" w:lineRule="exact"/>
        <w:rPr>
          <w:rFonts w:ascii="黑体" w:hAnsi="黑体" w:eastAsia="黑体"/>
          <w:color w:val="auto"/>
          <w:sz w:val="32"/>
          <w:szCs w:val="32"/>
        </w:rPr>
      </w:pPr>
    </w:p>
    <w:p>
      <w:pPr>
        <w:spacing w:line="600" w:lineRule="exact"/>
        <w:jc w:val="center"/>
        <w:rPr>
          <w:rFonts w:hint="eastAsia" w:ascii="方正小标宋简体" w:eastAsia="方正小标宋简体"/>
          <w:color w:val="auto"/>
          <w:spacing w:val="-12"/>
          <w:sz w:val="44"/>
          <w:szCs w:val="44"/>
        </w:rPr>
      </w:pPr>
      <w:r>
        <w:rPr>
          <w:rFonts w:hint="eastAsia" w:ascii="方正小标宋简体" w:eastAsia="方正小标宋简体"/>
          <w:color w:val="auto"/>
          <w:spacing w:val="-12"/>
          <w:sz w:val="44"/>
          <w:szCs w:val="44"/>
        </w:rPr>
        <w:t>部分不合格项目的小知识</w:t>
      </w:r>
    </w:p>
    <w:p>
      <w:pPr>
        <w:pStyle w:val="2"/>
        <w:spacing w:line="600" w:lineRule="exact"/>
        <w:rPr>
          <w:rFonts w:hint="eastAsia" w:ascii="仿宋_GB2312" w:hAnsi="仿宋_GB2312" w:eastAsia="仿宋_GB2312" w:cs="仿宋_GB2312"/>
          <w:b/>
          <w:bCs/>
          <w:color w:val="auto"/>
          <w:kern w:val="2"/>
          <w:sz w:val="32"/>
          <w:szCs w:val="32"/>
          <w:u w:val="none"/>
          <w:lang w:val="en-US" w:eastAsia="zh-CN" w:bidi="ar-SA"/>
        </w:rPr>
      </w:pPr>
    </w:p>
    <w:p>
      <w:pPr>
        <w:keepNext w:val="0"/>
        <w:keepLines w:val="0"/>
        <w:widowControl/>
        <w:suppressLineNumbers w:val="0"/>
        <w:ind w:firstLine="640" w:firstLineChars="200"/>
        <w:jc w:val="both"/>
        <w:rPr>
          <w:rFonts w:hint="eastAsia" w:eastAsia="仿宋_GB2312" w:asciiTheme="minorHAnsi" w:hAnsiTheme="minorHAnsi" w:cstheme="minorBidi"/>
          <w:kern w:val="0"/>
          <w:sz w:val="32"/>
          <w:szCs w:val="32"/>
          <w:lang w:val="en-US" w:eastAsia="zh-CN" w:bidi="ar"/>
        </w:rPr>
      </w:pPr>
      <w:r>
        <w:rPr>
          <w:rFonts w:hint="eastAsia" w:eastAsia="仿宋_GB2312" w:asciiTheme="minorHAnsi" w:hAnsiTheme="minorHAnsi" w:cstheme="minorBidi"/>
          <w:kern w:val="0"/>
          <w:sz w:val="32"/>
          <w:szCs w:val="32"/>
          <w:lang w:val="en-US" w:eastAsia="zh-CN" w:bidi="ar"/>
        </w:rPr>
        <w:t>(一)</w:t>
      </w:r>
      <w:r>
        <w:rPr>
          <w:rFonts w:hint="eastAsia" w:eastAsia="仿宋_GB2312" w:asciiTheme="minorHAnsi" w:hAnsiTheme="minorHAnsi" w:cstheme="minorBidi"/>
          <w:b/>
          <w:bCs/>
          <w:kern w:val="0"/>
          <w:sz w:val="32"/>
          <w:szCs w:val="32"/>
          <w:lang w:val="en-US" w:eastAsia="zh-CN" w:bidi="ar"/>
        </w:rPr>
        <w:t>菌落总数（aerobic plate count, APC）</w:t>
      </w:r>
    </w:p>
    <w:p>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default" w:eastAsia="仿宋_GB2312" w:asciiTheme="minorHAnsi" w:hAnsiTheme="minorHAnsi" w:cstheme="minorBidi"/>
          <w:kern w:val="0"/>
          <w:sz w:val="32"/>
          <w:szCs w:val="32"/>
          <w:lang w:val="en-US" w:eastAsia="zh-CN" w:bidi="ar"/>
        </w:rPr>
      </w:pPr>
      <w:bookmarkStart w:id="0" w:name="_GoBack"/>
      <w:r>
        <w:rPr>
          <w:rFonts w:hint="eastAsia" w:eastAsia="仿宋_GB2312" w:asciiTheme="minorHAnsi" w:hAnsiTheme="minorHAnsi" w:cstheme="minorBidi"/>
          <w:kern w:val="0"/>
          <w:sz w:val="32"/>
          <w:szCs w:val="32"/>
          <w:lang w:val="en-US" w:eastAsia="zh-CN" w:bidi="ar"/>
        </w:rPr>
        <w:t>菌落总数是指在被检样品的单位质量（g）、容积（mL）或表面积（cm2）内，所含能在严格规定的条件下（需氧情况培养基及其 pH、培养温度与时间、计数方法等）培养所生成的微生物菌落的数量，以菌落形成单位（CFU）表示。菌落总数是指示性微生物指标，并非致病菌指标。其卫生学意义主要是：一是作为食品被微生物污染程度，即清洁状态的标志，反映食品在生产过程中的卫生状况；二是预测食品耐保藏性。一般来讲，食品中菌落总数数量越多，食品腐败变质的速度就越快。如果食品的菌落总数严重超标，将会破坏食品的营养成分，使食品失去食用价值；还会加速食品的腐败变质，可能危害人体健康。菌落总数超标说明生产经营企业可能未按要求严格控制生产加工过程的卫生条件，或者包装容器清洗消毒不到位；还有可能与产品包装密封不严，储运条件控制不当等有关。我国《食品安全国家标准 糕点、面包》 （GB 7099-2015）中菌落总数的限量规定为n=5,c=2, m=10</w:t>
      </w:r>
      <w:r>
        <w:rPr>
          <w:rFonts w:hint="eastAsia" w:eastAsia="仿宋_GB2312" w:asciiTheme="minorHAnsi" w:hAnsiTheme="minorHAnsi" w:cstheme="minorBidi"/>
          <w:kern w:val="0"/>
          <w:sz w:val="32"/>
          <w:szCs w:val="32"/>
          <w:vertAlign w:val="superscript"/>
          <w:lang w:val="en-US" w:eastAsia="zh-CN" w:bidi="ar"/>
        </w:rPr>
        <w:t>4</w:t>
      </w:r>
      <w:r>
        <w:rPr>
          <w:rFonts w:hint="eastAsia" w:eastAsia="仿宋_GB2312" w:asciiTheme="minorHAnsi" w:hAnsiTheme="minorHAnsi" w:cstheme="minorBidi"/>
          <w:kern w:val="0"/>
          <w:sz w:val="32"/>
          <w:szCs w:val="32"/>
          <w:lang w:val="en-US" w:eastAsia="zh-CN" w:bidi="ar"/>
        </w:rPr>
        <w:t>CFU/g ,M= 10</w:t>
      </w:r>
      <w:r>
        <w:rPr>
          <w:rFonts w:hint="eastAsia" w:eastAsia="仿宋_GB2312" w:asciiTheme="minorHAnsi" w:hAnsiTheme="minorHAnsi" w:cstheme="minorBidi"/>
          <w:kern w:val="0"/>
          <w:sz w:val="32"/>
          <w:szCs w:val="32"/>
          <w:vertAlign w:val="superscript"/>
          <w:lang w:val="en-US" w:eastAsia="zh-CN" w:bidi="ar"/>
        </w:rPr>
        <w:t>5</w:t>
      </w:r>
      <w:r>
        <w:rPr>
          <w:rFonts w:hint="eastAsia" w:eastAsia="仿宋_GB2312" w:asciiTheme="minorHAnsi" w:hAnsiTheme="minorHAnsi" w:cstheme="minorBidi"/>
          <w:kern w:val="0"/>
          <w:sz w:val="32"/>
          <w:szCs w:val="32"/>
          <w:lang w:val="en-US" w:eastAsia="zh-CN" w:bidi="ar"/>
        </w:rPr>
        <w:t>CFU/g。</w:t>
      </w:r>
    </w:p>
    <w:bookmarkEnd w:id="0"/>
    <w:p>
      <w:pPr>
        <w:keepNext w:val="0"/>
        <w:keepLines w:val="0"/>
        <w:widowControl/>
        <w:numPr>
          <w:ilvl w:val="0"/>
          <w:numId w:val="1"/>
        </w:numPr>
        <w:suppressLineNumbers w:val="0"/>
        <w:ind w:firstLine="642" w:firstLineChars="200"/>
        <w:jc w:val="both"/>
        <w:rPr>
          <w:rFonts w:hint="eastAsia" w:eastAsia="仿宋_GB2312" w:asciiTheme="minorHAnsi" w:hAnsiTheme="minorHAnsi" w:cstheme="minorBidi"/>
          <w:b/>
          <w:bCs/>
          <w:kern w:val="0"/>
          <w:sz w:val="32"/>
          <w:szCs w:val="32"/>
          <w:lang w:val="en" w:eastAsia="zh-CN" w:bidi="ar"/>
        </w:rPr>
      </w:pPr>
      <w:r>
        <w:rPr>
          <w:rFonts w:hint="eastAsia" w:eastAsia="仿宋_GB2312" w:asciiTheme="minorHAnsi" w:hAnsiTheme="minorHAnsi" w:cstheme="minorBidi"/>
          <w:b/>
          <w:bCs/>
          <w:kern w:val="0"/>
          <w:sz w:val="32"/>
          <w:szCs w:val="32"/>
          <w:lang w:val="en" w:eastAsia="zh-CN" w:bidi="ar"/>
        </w:rPr>
        <w:t>糖精钠（soluble saccharin）</w:t>
      </w:r>
    </w:p>
    <w:p>
      <w:pPr>
        <w:pStyle w:val="3"/>
        <w:keepNext w:val="0"/>
        <w:keepLines w:val="0"/>
        <w:pageBreakBefore w:val="0"/>
        <w:widowControl w:val="0"/>
        <w:kinsoku/>
        <w:wordWrap/>
        <w:overflowPunct/>
        <w:topLinePunct w:val="0"/>
        <w:autoSpaceDE/>
        <w:autoSpaceDN/>
        <w:bidi w:val="0"/>
        <w:adjustRightInd/>
        <w:snapToGrid/>
        <w:textAlignment w:val="auto"/>
        <w:rPr>
          <w:rFonts w:hint="eastAsia" w:eastAsia="仿宋_GB2312" w:asciiTheme="minorHAnsi" w:hAnsiTheme="minorHAnsi" w:cstheme="minorBidi"/>
          <w:kern w:val="0"/>
          <w:sz w:val="32"/>
          <w:szCs w:val="32"/>
          <w:lang w:val="en" w:eastAsia="zh-CN" w:bidi="ar"/>
        </w:rPr>
      </w:pPr>
      <w:r>
        <w:rPr>
          <w:rFonts w:hint="eastAsia" w:eastAsia="仿宋_GB2312" w:asciiTheme="minorHAnsi" w:hAnsiTheme="minorHAnsi" w:cstheme="minorBidi"/>
          <w:kern w:val="0"/>
          <w:sz w:val="32"/>
          <w:szCs w:val="32"/>
          <w:lang w:val="en" w:eastAsia="zh-CN" w:bidi="ar"/>
        </w:rPr>
        <w:t>糖精钠，无色结晶或稍带白色的结晶性粉末，无臭或微有香气，甜度为蔗糖的 200~700 倍。糖精钠是普遍使用的人工合成甜味剂。糖精钠在人体内不被吸收，不产生热量，大部分经肾排出而不损害肾功能，不改变体内酶系统的活性。但食用较多的糖精钠，会影响肠胃消化酶的正常分泌，降低小肠的吸收能力，使食欲减退；使用量过大时有金属苦味。联合国粮农组织（FAO）和世界卫生组织食品添加剂联合专家委员会（JECFA）建议其日容许摄入量（ADI）为 0~5mg/kg bw。造成食品中糖精钠不合格的主要原因有：生产经营企业为增加产品甜味，超限量、超范围使用或者未准确计量。</w:t>
      </w:r>
    </w:p>
    <w:p>
      <w:pPr>
        <w:pStyle w:val="3"/>
        <w:keepNext w:val="0"/>
        <w:keepLines w:val="0"/>
        <w:pageBreakBefore w:val="0"/>
        <w:widowControl w:val="0"/>
        <w:kinsoku/>
        <w:wordWrap/>
        <w:overflowPunct/>
        <w:topLinePunct w:val="0"/>
        <w:autoSpaceDE/>
        <w:autoSpaceDN/>
        <w:bidi w:val="0"/>
        <w:adjustRightInd/>
        <w:snapToGrid/>
        <w:textAlignment w:val="auto"/>
        <w:rPr>
          <w:rFonts w:hint="eastAsia" w:eastAsia="仿宋_GB2312" w:asciiTheme="minorHAnsi" w:hAnsiTheme="minorHAnsi" w:cstheme="minorBidi"/>
          <w:kern w:val="0"/>
          <w:sz w:val="32"/>
          <w:szCs w:val="32"/>
          <w:lang w:val="en" w:eastAsia="zh-CN" w:bidi="ar"/>
        </w:rPr>
      </w:pPr>
      <w:r>
        <w:rPr>
          <w:rFonts w:hint="eastAsia" w:eastAsia="仿宋_GB2312" w:asciiTheme="minorHAnsi" w:hAnsiTheme="minorHAnsi" w:cstheme="minorBidi"/>
          <w:kern w:val="0"/>
          <w:sz w:val="32"/>
          <w:szCs w:val="32"/>
          <w:lang w:val="en" w:eastAsia="zh-CN" w:bidi="ar"/>
        </w:rPr>
        <w:t>我国允许糖精钠使用的范围有腌渍蔬菜、饮料、蜜饯凉果、冷饮、糕点、饼干、面包、坚果、配制酒等。使用应遵循《食品安全国家标准 食品添加剂使用标准》（GB 2760-2014）的规定，粮食加工品</w:t>
      </w:r>
      <w:r>
        <w:rPr>
          <w:rFonts w:hint="eastAsia" w:eastAsia="仿宋_GB2312" w:asciiTheme="minorHAnsi" w:hAnsiTheme="minorHAnsi" w:cstheme="minorBidi"/>
          <w:kern w:val="0"/>
          <w:sz w:val="32"/>
          <w:szCs w:val="32"/>
          <w:lang w:val="en-US" w:eastAsia="zh-CN" w:bidi="ar"/>
        </w:rPr>
        <w:t>的限量规定为</w:t>
      </w:r>
      <w:r>
        <w:rPr>
          <w:rFonts w:hint="eastAsia" w:eastAsia="仿宋_GB2312" w:asciiTheme="minorHAnsi" w:hAnsiTheme="minorHAnsi" w:cstheme="minorBidi"/>
          <w:kern w:val="0"/>
          <w:sz w:val="32"/>
          <w:szCs w:val="32"/>
          <w:lang w:val="en" w:eastAsia="zh-CN" w:bidi="ar"/>
        </w:rPr>
        <w:t>不得使用。</w:t>
      </w:r>
    </w:p>
    <w:p>
      <w:pPr>
        <w:pStyle w:val="3"/>
        <w:keepNext w:val="0"/>
        <w:keepLines w:val="0"/>
        <w:pageBreakBefore w:val="0"/>
        <w:widowControl w:val="0"/>
        <w:kinsoku/>
        <w:wordWrap/>
        <w:overflowPunct/>
        <w:topLinePunct w:val="0"/>
        <w:autoSpaceDE/>
        <w:autoSpaceDN/>
        <w:bidi w:val="0"/>
        <w:adjustRightInd/>
        <w:snapToGrid/>
        <w:textAlignment w:val="auto"/>
        <w:rPr>
          <w:rFonts w:hint="eastAsia" w:eastAsia="仿宋_GB2312" w:asciiTheme="minorHAnsi" w:hAnsiTheme="minorHAnsi" w:cstheme="minorBidi"/>
          <w:kern w:val="0"/>
          <w:sz w:val="32"/>
          <w:szCs w:val="32"/>
          <w:lang w:val="en" w:eastAsia="zh-CN" w:bidi="ar"/>
        </w:rPr>
      </w:pPr>
      <w:r>
        <w:rPr>
          <w:rFonts w:hint="eastAsia" w:eastAsia="仿宋_GB2312" w:asciiTheme="minorHAnsi" w:hAnsiTheme="minorHAnsi" w:cstheme="minorBidi"/>
          <w:b/>
          <w:bCs/>
          <w:kern w:val="0"/>
          <w:sz w:val="32"/>
          <w:szCs w:val="32"/>
          <w:lang w:val="en" w:eastAsia="zh-CN" w:bidi="ar"/>
        </w:rPr>
        <w:t>（三）噻虫胺（clothianidin）</w:t>
      </w:r>
    </w:p>
    <w:p>
      <w:pPr>
        <w:pStyle w:val="3"/>
        <w:rPr>
          <w:rFonts w:hint="eastAsia" w:eastAsia="仿宋_GB2312" w:asciiTheme="minorHAnsi" w:hAnsiTheme="minorHAnsi" w:cstheme="minorBidi"/>
          <w:kern w:val="0"/>
          <w:sz w:val="32"/>
          <w:szCs w:val="32"/>
          <w:lang w:val="en" w:eastAsia="zh-CN" w:bidi="ar"/>
        </w:rPr>
      </w:pPr>
      <w:r>
        <w:rPr>
          <w:rFonts w:hint="eastAsia" w:eastAsia="仿宋_GB2312" w:asciiTheme="minorHAnsi" w:hAnsiTheme="minorHAnsi" w:cstheme="minorBidi"/>
          <w:kern w:val="0"/>
          <w:sz w:val="32"/>
          <w:szCs w:val="32"/>
          <w:lang w:val="en" w:eastAsia="zh-CN" w:bidi="ar"/>
        </w:rPr>
        <w:t>噻虫胺，烟碱类杀虫剂，具有触杀、胃毒作用，具有根内吸活性和间传导性。土壤处理、叶面喷施和种子处理，防治水稻、玉米、油菜、果树和蔬菜、柑橘的刺吸式和咀嚼式害虫，如飞虱、椿象、蚜虫和烟粉虱。雌雄大鼠急性经口 LD50&gt; 5000mg/kg，急性毒性分级为微毒。急性中毒可出现恶心、呕吐、头痛、乏力、躁动、搐等。食用食品一般不会导致噻虫胺的急性中毒，但长期食用噻虫胺超标的食品，对人体健康也有一定影响。联合国粮农组织和世界卫生组织农药残留联席会议（JMPR）2010 年制定了其日容许摄入量（ADI）为 0.1mg/kg bw，我国《食品安全国家标准 食品中农药最大残留限量》（GB 2763-2021）中 ADI 值亦为 0.1mg/kg bw。根据《食品安全国家标准 食品中农药最大残留限量》（GB 2763-2021）中的规定，根茎类蔬菜</w:t>
      </w:r>
      <w:r>
        <w:rPr>
          <w:rFonts w:hint="eastAsia" w:eastAsia="仿宋_GB2312" w:asciiTheme="minorHAnsi" w:hAnsiTheme="minorHAnsi" w:cstheme="minorBidi"/>
          <w:color w:val="auto"/>
          <w:kern w:val="0"/>
          <w:sz w:val="32"/>
          <w:szCs w:val="32"/>
          <w:lang w:val="en-US" w:eastAsia="zh-CN" w:bidi="ar"/>
        </w:rPr>
        <w:t>中最大</w:t>
      </w:r>
      <w:r>
        <w:rPr>
          <w:rFonts w:hint="default" w:eastAsia="仿宋_GB2312"/>
          <w:color w:val="auto"/>
          <w:sz w:val="32"/>
          <w:szCs w:val="32"/>
          <w:u w:val="none"/>
          <w:lang w:eastAsia="zh-CN"/>
        </w:rPr>
        <w:t>残留限量范围</w:t>
      </w:r>
      <w:r>
        <w:rPr>
          <w:rFonts w:hint="default" w:eastAsia="仿宋_GB2312" w:asciiTheme="minorHAnsi" w:hAnsiTheme="minorHAnsi" w:cstheme="minorBidi"/>
          <w:kern w:val="0"/>
          <w:sz w:val="32"/>
          <w:szCs w:val="32"/>
          <w:lang w:val="en" w:eastAsia="zh-CN" w:bidi="ar"/>
        </w:rPr>
        <w:t>≤0.2mg/kg</w:t>
      </w:r>
      <w:r>
        <w:rPr>
          <w:rFonts w:hint="eastAsia" w:eastAsia="仿宋_GB2312" w:asciiTheme="minorHAnsi" w:hAnsiTheme="minorHAnsi" w:cstheme="minorBidi"/>
          <w:kern w:val="0"/>
          <w:sz w:val="32"/>
          <w:szCs w:val="32"/>
          <w:lang w:val="en" w:eastAsia="zh-CN" w:bidi="ar"/>
        </w:rPr>
        <w:t>。</w:t>
      </w:r>
    </w:p>
    <w:p>
      <w:pPr>
        <w:pStyle w:val="3"/>
        <w:rPr>
          <w:rFonts w:hint="eastAsia" w:eastAsia="仿宋_GB2312" w:asciiTheme="minorHAnsi" w:hAnsiTheme="minorHAnsi" w:cstheme="minorBidi"/>
          <w:b/>
          <w:bCs/>
          <w:kern w:val="0"/>
          <w:sz w:val="32"/>
          <w:szCs w:val="32"/>
          <w:lang w:val="en" w:eastAsia="zh-CN" w:bidi="ar"/>
        </w:rPr>
      </w:pPr>
      <w:r>
        <w:rPr>
          <w:rFonts w:hint="eastAsia" w:eastAsia="仿宋_GB2312" w:asciiTheme="minorHAnsi" w:hAnsiTheme="minorHAnsi" w:cstheme="minorBidi"/>
          <w:b/>
          <w:bCs/>
          <w:kern w:val="0"/>
          <w:sz w:val="32"/>
          <w:szCs w:val="32"/>
          <w:lang w:val="en" w:eastAsia="zh-CN" w:bidi="ar"/>
        </w:rPr>
        <w:t xml:space="preserve">（四）毒死蜱（chlorpyrifos） </w:t>
      </w:r>
    </w:p>
    <w:p>
      <w:pPr>
        <w:pStyle w:val="3"/>
        <w:rPr>
          <w:rFonts w:hint="eastAsia" w:eastAsia="仿宋_GB2312" w:asciiTheme="minorHAnsi" w:hAnsiTheme="minorHAnsi" w:cstheme="minorBidi"/>
          <w:kern w:val="0"/>
          <w:sz w:val="32"/>
          <w:szCs w:val="32"/>
          <w:lang w:val="en" w:eastAsia="zh-CN" w:bidi="ar"/>
        </w:rPr>
      </w:pPr>
      <w:r>
        <w:rPr>
          <w:rFonts w:hint="eastAsia" w:eastAsia="仿宋_GB2312" w:asciiTheme="minorHAnsi" w:hAnsiTheme="minorHAnsi" w:cstheme="minorBidi"/>
          <w:kern w:val="0"/>
          <w:sz w:val="32"/>
          <w:szCs w:val="32"/>
          <w:lang w:val="en" w:eastAsia="zh-CN" w:bidi="ar"/>
        </w:rPr>
        <w:t>毒死蜱，又名氯吡硫磷，是一种硫代磷酸酯类有机磷杀虫、杀螨剂，具有良好的触杀、胃毒和熏蒸作用。毒死蜱对蜜蜂、鱼类等水生生物、家蚕有毒。大鼠急性经口毒性试验 LD50为82mg/kg，急性毒性分级标准为中等毒，中毒机制为抑制乙酰胆碱酯酶活性，症状包括头痛、头昏、恶心、呕吐、出汗、流涎、肌肉震颤，甚至抽搐、痉挛，昏迷。相关研究未见遗传毒性和致癌性。少量的农药残留不会引起人体急性中毒，但长期食用毒死蜱超标的食品，对人体健康可能有一定影响。</w:t>
      </w:r>
    </w:p>
    <w:p>
      <w:pPr>
        <w:pStyle w:val="3"/>
        <w:rPr>
          <w:rFonts w:hint="eastAsia" w:eastAsia="仿宋_GB2312" w:asciiTheme="minorHAnsi" w:hAnsiTheme="minorHAnsi" w:cstheme="minorBidi"/>
          <w:kern w:val="0"/>
          <w:sz w:val="32"/>
          <w:szCs w:val="32"/>
          <w:lang w:val="en-US" w:eastAsia="zh-CN" w:bidi="ar"/>
        </w:rPr>
      </w:pPr>
      <w:r>
        <w:rPr>
          <w:rFonts w:hint="eastAsia" w:eastAsia="仿宋_GB2312" w:asciiTheme="minorHAnsi" w:hAnsiTheme="minorHAnsi" w:cstheme="minorBidi"/>
          <w:kern w:val="0"/>
          <w:sz w:val="32"/>
          <w:szCs w:val="32"/>
          <w:lang w:val="en" w:eastAsia="zh-CN" w:bidi="ar"/>
        </w:rPr>
        <w:t>联合国粮农组织和世界卫生组织农药残留联席会议（JMPR）建议其日容许摄入量（ADI）为0.01mg/kg bw（1999）；急性参考剂量（ARfD）为0.1mg/kg bw（2004）</w:t>
      </w:r>
      <w:r>
        <w:rPr>
          <w:rFonts w:hint="default" w:eastAsia="仿宋_GB2312" w:asciiTheme="minorHAnsi" w:hAnsiTheme="minorHAnsi" w:cstheme="minorBidi"/>
          <w:kern w:val="0"/>
          <w:sz w:val="32"/>
          <w:szCs w:val="32"/>
          <w:lang w:eastAsia="zh-CN" w:bidi="ar"/>
        </w:rPr>
        <w:t>，</w:t>
      </w:r>
      <w:r>
        <w:rPr>
          <w:rFonts w:hint="eastAsia" w:eastAsia="仿宋_GB2312" w:asciiTheme="minorHAnsi" w:hAnsiTheme="minorHAnsi" w:cstheme="minorBidi"/>
          <w:kern w:val="0"/>
          <w:sz w:val="32"/>
          <w:szCs w:val="32"/>
          <w:lang w:val="en-US" w:eastAsia="zh-CN" w:bidi="ar"/>
        </w:rPr>
        <w:t xml:space="preserve"> </w:t>
      </w:r>
    </w:p>
    <w:p>
      <w:pPr>
        <w:pStyle w:val="3"/>
        <w:ind w:left="0" w:leftChars="0" w:firstLine="0" w:firstLineChars="0"/>
        <w:rPr>
          <w:rFonts w:hint="eastAsia" w:eastAsia="仿宋_GB2312" w:asciiTheme="minorHAnsi" w:hAnsiTheme="minorHAnsi" w:cstheme="minorBidi"/>
          <w:kern w:val="0"/>
          <w:sz w:val="32"/>
          <w:szCs w:val="32"/>
          <w:lang w:val="en" w:eastAsia="zh-CN" w:bidi="ar"/>
        </w:rPr>
      </w:pPr>
      <w:r>
        <w:rPr>
          <w:rFonts w:hint="eastAsia" w:eastAsia="仿宋_GB2312" w:asciiTheme="minorHAnsi" w:hAnsiTheme="minorHAnsi" w:cstheme="minorBidi"/>
          <w:kern w:val="0"/>
          <w:sz w:val="32"/>
          <w:szCs w:val="32"/>
          <w:lang w:val="en" w:eastAsia="zh-CN" w:bidi="ar"/>
        </w:rPr>
        <w:t>根据《食品安全国家标准 食品中农药最大残留限量》（GB 2763-2021）中的规定，</w:t>
      </w:r>
      <w:r>
        <w:rPr>
          <w:rFonts w:hint="default" w:eastAsia="仿宋_GB2312" w:asciiTheme="minorHAnsi" w:hAnsiTheme="minorHAnsi" w:cstheme="minorBidi"/>
          <w:color w:val="auto"/>
          <w:kern w:val="0"/>
          <w:sz w:val="32"/>
          <w:szCs w:val="32"/>
          <w:lang w:eastAsia="zh-CN" w:bidi="ar"/>
        </w:rPr>
        <w:t>叶菜类蔬菜</w:t>
      </w:r>
      <w:r>
        <w:rPr>
          <w:rFonts w:hint="eastAsia" w:eastAsia="仿宋_GB2312" w:asciiTheme="minorHAnsi" w:hAnsiTheme="minorHAnsi" w:cstheme="minorBidi"/>
          <w:color w:val="auto"/>
          <w:kern w:val="0"/>
          <w:sz w:val="32"/>
          <w:szCs w:val="32"/>
          <w:lang w:eastAsia="zh-CN" w:bidi="ar"/>
        </w:rPr>
        <w:t>（芹菜）</w:t>
      </w:r>
      <w:r>
        <w:rPr>
          <w:rFonts w:hint="eastAsia" w:eastAsia="仿宋_GB2312" w:asciiTheme="minorHAnsi" w:hAnsiTheme="minorHAnsi" w:cstheme="minorBidi"/>
          <w:color w:val="auto"/>
          <w:kern w:val="0"/>
          <w:sz w:val="32"/>
          <w:szCs w:val="32"/>
          <w:lang w:val="en-US" w:eastAsia="zh-CN" w:bidi="ar"/>
        </w:rPr>
        <w:t>中最大</w:t>
      </w:r>
      <w:r>
        <w:rPr>
          <w:rFonts w:hint="default" w:eastAsia="仿宋_GB2312"/>
          <w:color w:val="auto"/>
          <w:sz w:val="32"/>
          <w:szCs w:val="32"/>
          <w:u w:val="none"/>
          <w:lang w:eastAsia="zh-CN"/>
        </w:rPr>
        <w:t>残留限量范围</w:t>
      </w:r>
      <w:r>
        <w:rPr>
          <w:rFonts w:hint="default" w:eastAsia="仿宋_GB2312" w:asciiTheme="minorHAnsi" w:hAnsiTheme="minorHAnsi" w:cstheme="minorBidi"/>
          <w:kern w:val="0"/>
          <w:sz w:val="32"/>
          <w:szCs w:val="32"/>
          <w:lang w:val="en" w:eastAsia="zh-CN" w:bidi="ar"/>
        </w:rPr>
        <w:t>≤0.0</w:t>
      </w:r>
      <w:r>
        <w:rPr>
          <w:rFonts w:hint="eastAsia" w:eastAsia="仿宋_GB2312" w:asciiTheme="minorHAnsi" w:hAnsiTheme="minorHAnsi" w:cstheme="minorBidi"/>
          <w:kern w:val="0"/>
          <w:sz w:val="32"/>
          <w:szCs w:val="32"/>
          <w:lang w:val="en-US" w:eastAsia="zh-CN" w:bidi="ar"/>
        </w:rPr>
        <w:t>5</w:t>
      </w:r>
      <w:r>
        <w:rPr>
          <w:rFonts w:hint="default" w:eastAsia="仿宋_GB2312" w:asciiTheme="minorHAnsi" w:hAnsiTheme="minorHAnsi" w:cstheme="minorBidi"/>
          <w:kern w:val="0"/>
          <w:sz w:val="32"/>
          <w:szCs w:val="32"/>
          <w:lang w:val="en" w:eastAsia="zh-CN" w:bidi="ar"/>
        </w:rPr>
        <w:t>mg/kg</w:t>
      </w:r>
      <w:r>
        <w:rPr>
          <w:rFonts w:hint="eastAsia" w:eastAsia="仿宋_GB2312" w:asciiTheme="minorHAnsi" w:hAnsiTheme="minorHAnsi" w:cstheme="minorBidi"/>
          <w:kern w:val="0"/>
          <w:sz w:val="32"/>
          <w:szCs w:val="32"/>
          <w:lang w:val="en" w:eastAsia="zh-CN" w:bidi="ar"/>
        </w:rPr>
        <w:t>。</w:t>
      </w:r>
    </w:p>
    <w:p>
      <w:pPr>
        <w:pStyle w:val="3"/>
        <w:rPr>
          <w:rFonts w:hint="eastAsia" w:eastAsia="仿宋_GB2312" w:asciiTheme="minorHAnsi" w:hAnsiTheme="minorHAnsi" w:cstheme="minorBidi"/>
          <w:kern w:val="0"/>
          <w:sz w:val="32"/>
          <w:szCs w:val="32"/>
          <w:lang w:val="en-US" w:eastAsia="zh-CN" w:bidi="ar"/>
        </w:rPr>
      </w:pPr>
      <w:r>
        <w:rPr>
          <w:rFonts w:hint="eastAsia" w:eastAsia="仿宋_GB2312" w:asciiTheme="minorHAnsi" w:hAnsiTheme="minorHAnsi" w:cstheme="minorBidi"/>
          <w:b/>
          <w:bCs/>
          <w:kern w:val="0"/>
          <w:sz w:val="32"/>
          <w:szCs w:val="32"/>
          <w:lang w:val="en-US" w:eastAsia="zh-CN" w:bidi="ar"/>
        </w:rPr>
        <w:t>（五）恩诺沙星（enrofloxacin）</w:t>
      </w:r>
    </w:p>
    <w:p>
      <w:pPr>
        <w:pStyle w:val="3"/>
        <w:rPr>
          <w:rFonts w:hint="eastAsia" w:eastAsia="仿宋_GB2312" w:asciiTheme="minorHAnsi" w:hAnsiTheme="minorHAnsi" w:cstheme="minorBidi"/>
          <w:kern w:val="0"/>
          <w:sz w:val="32"/>
          <w:szCs w:val="32"/>
          <w:lang w:val="en-US" w:eastAsia="zh-CN" w:bidi="ar"/>
        </w:rPr>
      </w:pPr>
      <w:r>
        <w:rPr>
          <w:rFonts w:hint="eastAsia" w:eastAsia="仿宋_GB2312" w:asciiTheme="minorHAnsi" w:hAnsiTheme="minorHAnsi" w:cstheme="minorBidi"/>
          <w:kern w:val="0"/>
          <w:sz w:val="32"/>
          <w:szCs w:val="32"/>
          <w:lang w:val="en-US" w:eastAsia="zh-CN" w:bidi="ar"/>
        </w:rPr>
        <w:t>恩诺沙星属第三代喹诺酮类药。是一类人工合成的广谱抗菌药，用于治疗动物的皮肤感染、呼吸道感染等，是动物专属用药。大鼠急性经口毒性为实际无毒级，无遗传毒性、无致畸性和致癌性，主要引起耳廓软骨的变性性改变和睾丸毒性（精子形态学改变、生精小管萎缩等），并可造成雄性大鼠不育。长期使用或者过度使用可能导致在人体中蓄积，进而对人体机能产生危害，还可能使人体产生耐药性菌株。联合国粮农组织（FAO）和世界卫生组织食品添加剂联合专家委员会（JECFA）给出了恩诺沙星的日容许摄入量（ADI）的建议值为 0~2µg/kg bw（1998）。根据《食品安全国家标准 食品中兽药最大残留限量》（GB 31650-2019）规定，农产品鱼中恩诺沙星（残留标志物为恩诺沙星与环丙沙星之和）的最大残留限量≤100μg/kg。</w:t>
      </w:r>
    </w:p>
    <w:p>
      <w:pPr>
        <w:numPr>
          <w:numId w:val="0"/>
        </w:numPr>
        <w:spacing w:line="600" w:lineRule="exact"/>
        <w:ind w:firstLine="594" w:firstLineChars="200"/>
        <w:jc w:val="left"/>
        <w:rPr>
          <w:rFonts w:hint="eastAsia" w:ascii="仿宋_GB2312" w:hAnsi="仿宋_GB2312" w:eastAsia="仿宋_GB2312" w:cs="仿宋_GB2312"/>
          <w:b/>
          <w:bCs/>
          <w:color w:val="auto"/>
          <w:spacing w:val="-12"/>
          <w:sz w:val="32"/>
          <w:szCs w:val="32"/>
          <w:lang w:val="en-US" w:eastAsia="zh-CN"/>
        </w:rPr>
      </w:pPr>
      <w:r>
        <w:rPr>
          <w:rFonts w:hint="eastAsia" w:ascii="仿宋_GB2312" w:hAnsi="仿宋_GB2312" w:eastAsia="仿宋_GB2312" w:cs="仿宋_GB2312"/>
          <w:b/>
          <w:bCs/>
          <w:color w:val="auto"/>
          <w:spacing w:val="-12"/>
          <w:sz w:val="32"/>
          <w:szCs w:val="32"/>
          <w:lang w:val="en-US" w:eastAsia="zh-CN"/>
        </w:rPr>
        <w:t>（六）过氧化值</w:t>
      </w:r>
    </w:p>
    <w:p>
      <w:pPr>
        <w:keepNext w:val="0"/>
        <w:keepLines w:val="0"/>
        <w:widowControl/>
        <w:suppressLineNumbers w:val="0"/>
        <w:ind w:firstLine="640" w:firstLineChars="200"/>
        <w:jc w:val="left"/>
        <w:rPr>
          <w:rFonts w:hint="default" w:eastAsia="仿宋_GB2312" w:asciiTheme="minorHAnsi" w:hAnsiTheme="minorHAnsi" w:cstheme="minorBidi"/>
          <w:kern w:val="0"/>
          <w:sz w:val="32"/>
          <w:szCs w:val="32"/>
          <w:lang w:val="en-US" w:eastAsia="zh-CN" w:bidi="ar"/>
        </w:rPr>
      </w:pPr>
      <w:r>
        <w:rPr>
          <w:rFonts w:hint="eastAsia" w:eastAsia="仿宋_GB2312" w:asciiTheme="minorHAnsi" w:hAnsiTheme="minorHAnsi" w:cstheme="minorBidi"/>
          <w:kern w:val="0"/>
          <w:sz w:val="32"/>
          <w:szCs w:val="32"/>
          <w:lang w:val="en-US" w:eastAsia="zh-CN" w:bidi="ar"/>
        </w:rPr>
        <w:t>过氧化值是指油脂中不饱和脂肪酸被氧化形成过氧化物，一般以 100g（或 1kg）被测油脂使碘化钾析出碘的克数表示。过氧化值 是油脂酸败的早期指标，主要反映油脂被氧化的程度。当 过氧化值 上升到一定程度后，油脂开始出现感官形状上的改变。过氧化值 并非随着酸败程度的加剧而持续升高，当油脂由哈喇味变辛辣味、色泽变深、粘度增大时，过氧化值 反而会降至较低水平。随着油脂氧化，过氧化值会逐步升高，一般情况下，当 过氧化值 超过 0.25g/100g，即表示酸败。该指标不合格一般不会对人体的健康产生损害，但过多食用，严重时会导致肠胃不适、腹泻等症状。一般情况下，如果食品氧化变质，消费者在食用过程中能辨别出哈喇等异味，需避免食用。过氧化值超标的原因可能是产品用油已经变质，或者产品在储存过程中环境条件控制不当，导致产品酸败；也可能是原料中的脂肪已经氧化，储存不当，或未采取有效的抗氧化措施，使得终产品油脂氧化。此外，植物油精炼不到位也可能造成食用油、油脂及其制品的过氧化值不合格。根据《</w:t>
      </w:r>
      <w:r>
        <w:rPr>
          <w:rFonts w:ascii="Arial" w:hAnsi="Arial" w:eastAsia="宋体" w:cs="Arial"/>
          <w:i w:val="0"/>
          <w:caps w:val="0"/>
          <w:color w:val="333333"/>
          <w:spacing w:val="0"/>
          <w:kern w:val="0"/>
          <w:sz w:val="30"/>
          <w:szCs w:val="30"/>
          <w:shd w:val="clear" w:fill="FFFFFF"/>
          <w:lang w:val="en-US" w:eastAsia="zh-CN" w:bidi="ar"/>
        </w:rPr>
        <w:t xml:space="preserve"> 食品安全国家标准 坚果与籽类食品</w:t>
      </w:r>
      <w:r>
        <w:rPr>
          <w:rFonts w:hint="eastAsia" w:eastAsia="仿宋_GB2312" w:asciiTheme="minorHAnsi" w:hAnsiTheme="minorHAnsi" w:cstheme="minorBidi"/>
          <w:kern w:val="0"/>
          <w:sz w:val="32"/>
          <w:szCs w:val="32"/>
          <w:lang w:val="en-US" w:eastAsia="zh-CN" w:bidi="ar"/>
        </w:rPr>
        <w:t>》（</w:t>
      </w:r>
      <w:r>
        <w:rPr>
          <w:rFonts w:ascii="Arial" w:hAnsi="Arial" w:eastAsia="宋体" w:cs="Arial"/>
          <w:i w:val="0"/>
          <w:caps w:val="0"/>
          <w:color w:val="333333"/>
          <w:spacing w:val="0"/>
          <w:kern w:val="0"/>
          <w:sz w:val="30"/>
          <w:szCs w:val="30"/>
          <w:shd w:val="clear" w:fill="FFFFFF"/>
          <w:lang w:val="en-US" w:eastAsia="zh-CN" w:bidi="ar"/>
        </w:rPr>
        <w:t>GB 19300-2014</w:t>
      </w:r>
      <w:r>
        <w:rPr>
          <w:rFonts w:hint="eastAsia" w:eastAsia="仿宋_GB2312" w:asciiTheme="minorHAnsi" w:hAnsiTheme="minorHAnsi" w:cstheme="minorBidi"/>
          <w:kern w:val="0"/>
          <w:sz w:val="32"/>
          <w:szCs w:val="32"/>
          <w:lang w:val="en-US" w:eastAsia="zh-CN" w:bidi="ar"/>
        </w:rPr>
        <w:t xml:space="preserve"> ）的规定，坚果与籽类食品中熟制葵花籽的最大限量为0.80g/100g。</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eastAsia="仿宋_GB2312" w:asciiTheme="minorHAnsi" w:hAnsiTheme="minorHAnsi" w:cstheme="minorBidi"/>
          <w:kern w:val="0"/>
          <w:sz w:val="32"/>
          <w:szCs w:val="32"/>
          <w:lang w:val="en-US" w:eastAsia="zh-CN" w:bidi="ar"/>
        </w:rPr>
      </w:pPr>
    </w:p>
    <w:p>
      <w:pPr>
        <w:pStyle w:val="3"/>
        <w:rPr>
          <w:rFonts w:hint="eastAsia" w:eastAsia="仿宋_GB2312" w:asciiTheme="minorHAnsi" w:hAnsiTheme="minorHAnsi" w:cstheme="minorBidi"/>
          <w:kern w:val="0"/>
          <w:sz w:val="32"/>
          <w:szCs w:val="32"/>
          <w:lang w:val="en" w:eastAsia="zh-CN" w:bidi="ar"/>
        </w:rPr>
      </w:pPr>
    </w:p>
    <w:p>
      <w:pPr>
        <w:pStyle w:val="3"/>
        <w:rPr>
          <w:rFonts w:hint="eastAsia" w:eastAsia="仿宋_GB2312" w:asciiTheme="minorHAnsi" w:hAnsiTheme="minorHAnsi" w:cstheme="minorBidi"/>
          <w:kern w:val="0"/>
          <w:sz w:val="32"/>
          <w:szCs w:val="32"/>
          <w:lang w:val="en-US" w:eastAsia="zh-CN" w:bidi="ar"/>
        </w:rPr>
      </w:pPr>
    </w:p>
    <w:p>
      <w:pPr>
        <w:pStyle w:val="3"/>
        <w:keepNext w:val="0"/>
        <w:keepLines w:val="0"/>
        <w:pageBreakBefore w:val="0"/>
        <w:widowControl w:val="0"/>
        <w:kinsoku/>
        <w:wordWrap/>
        <w:overflowPunct/>
        <w:topLinePunct w:val="0"/>
        <w:autoSpaceDE/>
        <w:autoSpaceDN/>
        <w:bidi w:val="0"/>
        <w:adjustRightInd/>
        <w:snapToGrid/>
        <w:textAlignment w:val="auto"/>
        <w:rPr>
          <w:rFonts w:hint="eastAsia" w:eastAsia="仿宋_GB2312" w:asciiTheme="minorHAnsi" w:hAnsiTheme="minorHAnsi" w:cstheme="minorBidi"/>
          <w:kern w:val="0"/>
          <w:sz w:val="32"/>
          <w:szCs w:val="32"/>
          <w:lang w:val="en" w:eastAsia="zh-CN" w:bidi="ar"/>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细黑"/>
    <w:panose1 w:val="02010600030101010101"/>
    <w:charset w:val="86"/>
    <w:family w:val="auto"/>
    <w:pitch w:val="default"/>
    <w:sig w:usb0="00000000" w:usb1="00000000"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华文细黑">
    <w:panose1 w:val="02010600040101010101"/>
    <w:charset w:val="86"/>
    <w:family w:val="auto"/>
    <w:pitch w:val="default"/>
    <w:sig w:usb0="00000287" w:usb1="080F0000" w:usb2="00000000" w:usb3="00000000" w:csb0="0004009F" w:csb1="DFD70000"/>
  </w:font>
  <w:font w:name="Arial">
    <w:altName w:val="Times New Roman"/>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2FC0823"/>
    <w:multiLevelType w:val="singleLevel"/>
    <w:tmpl w:val="F2FC082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attachedTemplate r:id="rId1"/>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6C5981"/>
    <w:rsid w:val="00071DD5"/>
    <w:rsid w:val="001E2D68"/>
    <w:rsid w:val="00257D08"/>
    <w:rsid w:val="002D5EDB"/>
    <w:rsid w:val="00312DFB"/>
    <w:rsid w:val="0042799F"/>
    <w:rsid w:val="004A3E1B"/>
    <w:rsid w:val="004D26CE"/>
    <w:rsid w:val="00512DF8"/>
    <w:rsid w:val="005964F6"/>
    <w:rsid w:val="006766D8"/>
    <w:rsid w:val="006E7239"/>
    <w:rsid w:val="00701C17"/>
    <w:rsid w:val="007407EB"/>
    <w:rsid w:val="00780B1B"/>
    <w:rsid w:val="007A11E3"/>
    <w:rsid w:val="007C240C"/>
    <w:rsid w:val="00891190"/>
    <w:rsid w:val="0093432E"/>
    <w:rsid w:val="009973C0"/>
    <w:rsid w:val="00AD41F3"/>
    <w:rsid w:val="00BF7D93"/>
    <w:rsid w:val="00CF157E"/>
    <w:rsid w:val="00D2580A"/>
    <w:rsid w:val="00DA10DE"/>
    <w:rsid w:val="00E0149A"/>
    <w:rsid w:val="00E46515"/>
    <w:rsid w:val="00EB4BB4"/>
    <w:rsid w:val="00F40965"/>
    <w:rsid w:val="00F643EC"/>
    <w:rsid w:val="00F64972"/>
    <w:rsid w:val="00F651DB"/>
    <w:rsid w:val="00F81C62"/>
    <w:rsid w:val="00FA1106"/>
    <w:rsid w:val="0448295A"/>
    <w:rsid w:val="04A24281"/>
    <w:rsid w:val="076D246B"/>
    <w:rsid w:val="0CD74F93"/>
    <w:rsid w:val="0E482185"/>
    <w:rsid w:val="0ED773D0"/>
    <w:rsid w:val="0FE578C3"/>
    <w:rsid w:val="1C9058DA"/>
    <w:rsid w:val="1FECA907"/>
    <w:rsid w:val="21D80923"/>
    <w:rsid w:val="228F1D93"/>
    <w:rsid w:val="282F31A9"/>
    <w:rsid w:val="29F75D69"/>
    <w:rsid w:val="2D480A48"/>
    <w:rsid w:val="2F832FF6"/>
    <w:rsid w:val="380C697C"/>
    <w:rsid w:val="3B631688"/>
    <w:rsid w:val="3DDAEE9F"/>
    <w:rsid w:val="3DF3CB08"/>
    <w:rsid w:val="3E7F953F"/>
    <w:rsid w:val="40B35447"/>
    <w:rsid w:val="45AA61A7"/>
    <w:rsid w:val="474E6E34"/>
    <w:rsid w:val="493E605A"/>
    <w:rsid w:val="4D7F48FD"/>
    <w:rsid w:val="4DD24205"/>
    <w:rsid w:val="4E705C06"/>
    <w:rsid w:val="51B8651B"/>
    <w:rsid w:val="5965130E"/>
    <w:rsid w:val="5BBA3E5E"/>
    <w:rsid w:val="5D843AF5"/>
    <w:rsid w:val="5DFC666A"/>
    <w:rsid w:val="5EEE38D2"/>
    <w:rsid w:val="5EFF7B8E"/>
    <w:rsid w:val="630848A9"/>
    <w:rsid w:val="66CE15DD"/>
    <w:rsid w:val="679C1AE6"/>
    <w:rsid w:val="6B6A6B78"/>
    <w:rsid w:val="6D535020"/>
    <w:rsid w:val="6E7FA66F"/>
    <w:rsid w:val="6EF5AE60"/>
    <w:rsid w:val="73BEA6E9"/>
    <w:rsid w:val="756C5981"/>
    <w:rsid w:val="757FDD76"/>
    <w:rsid w:val="77279025"/>
    <w:rsid w:val="77EFB7D4"/>
    <w:rsid w:val="77F394F2"/>
    <w:rsid w:val="7B8A2341"/>
    <w:rsid w:val="7C961BB6"/>
    <w:rsid w:val="7CED0B0F"/>
    <w:rsid w:val="7DF7F7F6"/>
    <w:rsid w:val="7F765B73"/>
    <w:rsid w:val="7FFF3D91"/>
    <w:rsid w:val="8FDD3E20"/>
    <w:rsid w:val="ACFB20F1"/>
    <w:rsid w:val="BEFFBC97"/>
    <w:rsid w:val="BFD63B9E"/>
    <w:rsid w:val="C5E59246"/>
    <w:rsid w:val="D72FA7DD"/>
    <w:rsid w:val="DF902EB0"/>
    <w:rsid w:val="E59D8839"/>
    <w:rsid w:val="E8BF111D"/>
    <w:rsid w:val="EEEC40A1"/>
    <w:rsid w:val="EFD98911"/>
    <w:rsid w:val="F2FFD4B4"/>
    <w:rsid w:val="F6F67DF8"/>
    <w:rsid w:val="F7351B94"/>
    <w:rsid w:val="F7E760BD"/>
    <w:rsid w:val="F7F0D5F8"/>
    <w:rsid w:val="F9DF2B4F"/>
    <w:rsid w:val="FBB90085"/>
    <w:rsid w:val="FCBF3CF4"/>
    <w:rsid w:val="FDFC535D"/>
    <w:rsid w:val="FE7B3CE3"/>
    <w:rsid w:val="FED49A4D"/>
    <w:rsid w:val="FF7D351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4"/>
    <w:basedOn w:val="1"/>
    <w:next w:val="1"/>
    <w:semiHidden/>
    <w:unhideWhenUsed/>
    <w:qFormat/>
    <w:uiPriority w:val="9"/>
    <w:pPr>
      <w:keepNext/>
      <w:keepLines/>
      <w:spacing w:line="360" w:lineRule="auto"/>
      <w:outlineLvl w:val="3"/>
    </w:pPr>
    <w:rPr>
      <w:rFonts w:ascii="Times New Roman" w:hAnsi="Times New Roman" w:eastAsia="宋体"/>
      <w:b/>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420" w:firstLineChars="200"/>
    </w:p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0"/>
    <w:pPr>
      <w:spacing w:before="100" w:beforeAutospacing="1" w:after="100" w:afterAutospacing="1"/>
      <w:jc w:val="left"/>
    </w:pPr>
    <w:rPr>
      <w:rFonts w:ascii="Calibri" w:hAnsi="Calibri" w:eastAsia="宋体" w:cs="黑体"/>
      <w:color w:val="CC0000"/>
      <w:kern w:val="0"/>
      <w:sz w:val="24"/>
      <w:u w:val="single"/>
    </w:rPr>
  </w:style>
  <w:style w:type="character" w:styleId="9">
    <w:name w:val="Strong"/>
    <w:basedOn w:val="8"/>
    <w:qFormat/>
    <w:uiPriority w:val="0"/>
    <w:rPr>
      <w:b/>
    </w:rPr>
  </w:style>
  <w:style w:type="character" w:styleId="10">
    <w:name w:val="Hyperlink"/>
    <w:basedOn w:val="8"/>
    <w:qFormat/>
    <w:uiPriority w:val="0"/>
    <w:rPr>
      <w:color w:val="0000FF"/>
      <w:u w:val="single"/>
    </w:rPr>
  </w:style>
  <w:style w:type="character" w:customStyle="1" w:styleId="11">
    <w:name w:val="页眉 字符"/>
    <w:basedOn w:val="8"/>
    <w:link w:val="5"/>
    <w:qFormat/>
    <w:uiPriority w:val="0"/>
    <w:rPr>
      <w:rFonts w:ascii="等线" w:hAnsi="等线" w:eastAsia="等线"/>
      <w:kern w:val="2"/>
      <w:sz w:val="18"/>
      <w:szCs w:val="18"/>
    </w:rPr>
  </w:style>
  <w:style w:type="character" w:customStyle="1" w:styleId="12">
    <w:name w:val="页脚 字符"/>
    <w:basedOn w:val="8"/>
    <w:link w:val="4"/>
    <w:qFormat/>
    <w:uiPriority w:val="0"/>
    <w:rPr>
      <w:rFonts w:ascii="等线" w:hAnsi="等线" w:eastAsia="等线"/>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ls603/C:\home\ls603\E:\home\ls603\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Microsoft</Company>
  <Pages>1</Pages>
  <Words>195</Words>
  <Characters>1112</Characters>
  <Lines>9</Lines>
  <Paragraphs>2</Paragraphs>
  <TotalTime>3</TotalTime>
  <ScaleCrop>false</ScaleCrop>
  <LinksUpToDate>false</LinksUpToDate>
  <CharactersWithSpaces>1305</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2021-06-27T06:35:00Z</dcterms:created>
  <dc:creator>Administrator</dc:creator>
  <cp:lastModifiedBy>ls603</cp:lastModifiedBy>
  <dcterms:modified xsi:type="dcterms:W3CDTF">2022-09-29T12:33:44Z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97F9DAF7D56E40D9A9597F0FC7621844</vt:lpwstr>
  </property>
  <property fmtid="{D5CDD505-2E9C-101B-9397-08002B2CF9AE}" pid="4" name="woTemplateTypoMode" linkTarget="0">
    <vt:lpwstr>web</vt:lpwstr>
  </property>
  <property fmtid="{D5CDD505-2E9C-101B-9397-08002B2CF9AE}" pid="5" name="woTemplate" linkTarget="0">
    <vt:i4>1</vt:i4>
  </property>
</Properties>
</file>