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rPr>
        <w:t>淮南市市场监</w:t>
      </w:r>
      <w:r>
        <w:rPr>
          <w:rFonts w:hint="eastAsia" w:ascii="方正小标宋简体" w:hAnsi="方正小标宋简体" w:eastAsia="方正小标宋简体" w:cs="方正小标宋简体"/>
          <w:sz w:val="44"/>
          <w:szCs w:val="44"/>
        </w:rPr>
        <w:t>督管理局</w:t>
      </w:r>
    </w:p>
    <w:p>
      <w:pPr>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rPr>
        <w:t>行政处</w:t>
      </w:r>
      <w:r>
        <w:rPr>
          <w:rFonts w:hint="eastAsia" w:ascii="方正小标宋简体" w:hAnsi="方正小标宋简体" w:eastAsia="方正小标宋简体" w:cs="方正小标宋简体"/>
          <w:sz w:val="44"/>
          <w:szCs w:val="44"/>
        </w:rPr>
        <w:t>罚决定书</w:t>
      </w:r>
    </w:p>
    <w:p>
      <w:pPr>
        <w:keepNext w:val="0"/>
        <w:keepLines w:val="0"/>
        <w:pageBreakBefore w:val="0"/>
        <w:kinsoku/>
        <w:wordWrap/>
        <w:overflowPunct/>
        <w:topLinePunct w:val="0"/>
        <w:bidi w:val="0"/>
        <w:adjustRightInd w:val="0"/>
        <w:snapToGrid w:val="0"/>
        <w:spacing w:line="480" w:lineRule="atLeast"/>
        <w:jc w:val="center"/>
        <w:textAlignment w:val="auto"/>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lang w:val="en-US" w:eastAsia="zh-CN"/>
        </w:rPr>
        <w:t>淮市监</w:t>
      </w:r>
      <w:r>
        <w:rPr>
          <w:rFonts w:hint="eastAsia" w:ascii="仿宋_GB2312" w:hAnsi="仿宋_GB2312" w:eastAsia="仿宋_GB2312" w:cs="仿宋_GB2312"/>
          <w:sz w:val="32"/>
          <w:szCs w:val="32"/>
        </w:rPr>
        <w:t>田</w:t>
      </w:r>
      <w:r>
        <w:rPr>
          <w:rFonts w:hint="eastAsia" w:ascii="仿宋_GB2312" w:hAnsi="仿宋_GB2312" w:eastAsia="仿宋_GB2312" w:cs="仿宋_GB2312"/>
          <w:sz w:val="32"/>
          <w:szCs w:val="32"/>
          <w:lang w:val="en-US" w:eastAsia="zh-CN"/>
        </w:rPr>
        <w:t>处</w:t>
      </w:r>
      <w:r>
        <w:rPr>
          <w:rFonts w:hint="eastAsia" w:ascii="仿宋_GB2312" w:hAnsi="仿宋_GB2312" w:eastAsia="仿宋_GB2312" w:cs="仿宋_GB2312"/>
          <w:spacing w:val="17"/>
          <w:sz w:val="32"/>
          <w:szCs w:val="32"/>
          <w:lang w:val="en-US" w:eastAsia="zh-CN"/>
        </w:rPr>
        <w:t>罚</w:t>
      </w:r>
      <w:r>
        <w:rPr>
          <w:rFonts w:hint="eastAsia" w:ascii="仿宋_GB2312" w:hAnsi="仿宋_GB2312" w:eastAsia="仿宋_GB2312" w:cs="仿宋_GB2312"/>
          <w:sz w:val="32"/>
          <w:szCs w:val="32"/>
        </w:rPr>
        <w:t>〔</w:t>
      </w:r>
      <w:r>
        <w:rPr>
          <w:rFonts w:hint="eastAsia" w:ascii="仿宋_GB2312" w:hAnsi="仿宋_GB2312" w:eastAsia="仿宋_GB2312" w:cs="仿宋_GB2312"/>
          <w:spacing w:val="18"/>
          <w:sz w:val="32"/>
          <w:szCs w:val="32"/>
        </w:rPr>
        <w:t>202</w:t>
      </w:r>
      <w:r>
        <w:rPr>
          <w:rFonts w:hint="eastAsia" w:ascii="仿宋_GB2312" w:hAnsi="仿宋_GB2312" w:eastAsia="仿宋_GB2312" w:cs="仿宋_GB2312"/>
          <w:spacing w:val="18"/>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120</w:t>
      </w:r>
      <w:r>
        <w:rPr>
          <w:rFonts w:hint="eastAsia" w:ascii="仿宋_GB2312" w:hAnsi="仿宋_GB2312" w:eastAsia="仿宋_GB2312" w:cs="仿宋_GB2312"/>
          <w:sz w:val="32"/>
          <w:szCs w:val="32"/>
        </w:rPr>
        <w:t>号</w:t>
      </w:r>
    </w:p>
    <w:p>
      <w:pPr>
        <w:keepNext w:val="0"/>
        <w:keepLines w:val="0"/>
        <w:pageBreakBefore w:val="0"/>
        <w:kinsoku/>
        <w:wordWrap/>
        <w:overflowPunct/>
        <w:topLinePunct w:val="0"/>
        <w:autoSpaceDE/>
        <w:autoSpaceDN/>
        <w:bidi w:val="0"/>
        <w:adjustRightInd w:val="0"/>
        <w:snapToGrid w:val="0"/>
        <w:spacing w:line="480" w:lineRule="atLeast"/>
        <w:jc w:val="lef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480" w:lineRule="atLeas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当事人：江苏苏果超市有限公司淮南泉山路购物广场                                       </w:t>
      </w:r>
    </w:p>
    <w:p>
      <w:pPr>
        <w:keepNext w:val="0"/>
        <w:keepLines w:val="0"/>
        <w:pageBreakBefore w:val="0"/>
        <w:kinsoku/>
        <w:wordWrap/>
        <w:overflowPunct/>
        <w:topLinePunct w:val="0"/>
        <w:autoSpaceDE/>
        <w:autoSpaceDN/>
        <w:bidi w:val="0"/>
        <w:adjustRightInd w:val="0"/>
        <w:snapToGrid w:val="0"/>
        <w:spacing w:line="480" w:lineRule="atLeas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主体资格证照名称：营业</w:t>
      </w:r>
      <w:r>
        <w:rPr>
          <w:rFonts w:hint="eastAsia" w:ascii="仿宋_GB2312" w:hAnsi="仿宋_GB2312" w:eastAsia="仿宋_GB2312" w:cs="仿宋_GB2312"/>
          <w:sz w:val="32"/>
          <w:szCs w:val="32"/>
          <w:lang w:val="en-US" w:eastAsia="zh-CN"/>
        </w:rPr>
        <w:t>执照</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80" w:lineRule="atLeast"/>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统一社会信用代码（注册号）：91340400399896784B                      </w:t>
      </w:r>
    </w:p>
    <w:p>
      <w:pPr>
        <w:keepNext w:val="0"/>
        <w:keepLines w:val="0"/>
        <w:pageBreakBefore w:val="0"/>
        <w:kinsoku/>
        <w:wordWrap/>
        <w:overflowPunct/>
        <w:topLinePunct w:val="0"/>
        <w:autoSpaceDE/>
        <w:autoSpaceDN/>
        <w:bidi w:val="0"/>
        <w:adjustRightInd w:val="0"/>
        <w:snapToGrid w:val="0"/>
        <w:spacing w:line="480" w:lineRule="atLeast"/>
        <w:jc w:val="left"/>
        <w:textAlignment w:val="auto"/>
        <w:rPr>
          <w:rFonts w:ascii="仿宋_GB2312" w:hAnsi="仿宋_GB2312" w:eastAsia="仿宋_GB2312" w:cs="仿宋_GB2312"/>
          <w:w w:val="90"/>
          <w:sz w:val="32"/>
          <w:szCs w:val="32"/>
        </w:rPr>
      </w:pPr>
      <w:r>
        <w:rPr>
          <w:rFonts w:hint="eastAsia" w:ascii="仿宋_GB2312" w:hAnsi="仿宋_GB2312" w:eastAsia="仿宋_GB2312" w:cs="仿宋_GB2312"/>
          <w:sz w:val="32"/>
          <w:szCs w:val="32"/>
        </w:rPr>
        <w:t>住所（住址）：</w:t>
      </w:r>
      <w:r>
        <w:rPr>
          <w:rFonts w:hint="eastAsia" w:ascii="仿宋_GB2312" w:hAnsi="仿宋_GB2312" w:eastAsia="仿宋_GB2312" w:cs="仿宋_GB2312"/>
          <w:w w:val="90"/>
          <w:sz w:val="32"/>
          <w:szCs w:val="32"/>
        </w:rPr>
        <w:t>淮南市田家庵区泉山十字路口中化国际城D区</w:t>
      </w:r>
    </w:p>
    <w:p>
      <w:pPr>
        <w:keepNext w:val="0"/>
        <w:keepLines w:val="0"/>
        <w:pageBreakBefore w:val="0"/>
        <w:kinsoku/>
        <w:wordWrap/>
        <w:overflowPunct/>
        <w:topLinePunct w:val="0"/>
        <w:autoSpaceDE/>
        <w:autoSpaceDN/>
        <w:bidi w:val="0"/>
        <w:adjustRightInd w:val="0"/>
        <w:snapToGrid w:val="0"/>
        <w:spacing w:line="480" w:lineRule="atLeas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法定代表人（负责人、经营者）：赵晓峰                    </w:t>
      </w:r>
    </w:p>
    <w:p>
      <w:pPr>
        <w:keepNext w:val="0"/>
        <w:keepLines w:val="0"/>
        <w:pageBreakBefore w:val="0"/>
        <w:kinsoku/>
        <w:wordWrap/>
        <w:overflowPunct/>
        <w:topLinePunct w:val="0"/>
        <w:autoSpaceDE/>
        <w:autoSpaceDN/>
        <w:bidi w:val="0"/>
        <w:adjustRightInd w:val="0"/>
        <w:snapToGrid w:val="0"/>
        <w:spacing w:line="480" w:lineRule="atLeas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身份证（其他有效证件）号码：</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80" w:lineRule="atLeas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其他联系方式：</w:t>
      </w:r>
      <w:r>
        <w:rPr>
          <w:rFonts w:hint="eastAsia" w:ascii="仿宋_GB2312" w:hAnsi="仿宋_GB2312" w:eastAsia="仿宋_GB2312" w:cs="仿宋_GB2312"/>
          <w:sz w:val="32"/>
          <w:szCs w:val="32"/>
          <w:lang w:val="en-US" w:eastAsia="zh-CN"/>
        </w:rPr>
        <w:t>无</w:t>
      </w: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val="0"/>
        <w:snapToGrid w:val="0"/>
        <w:spacing w:line="480" w:lineRule="atLeas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联系地址：</w:t>
      </w:r>
      <w:r>
        <w:rPr>
          <w:rFonts w:hint="eastAsia" w:ascii="仿宋_GB2312" w:hAnsi="仿宋_GB2312" w:eastAsia="仿宋_GB2312" w:cs="仿宋_GB2312"/>
          <w:w w:val="90"/>
          <w:sz w:val="32"/>
          <w:szCs w:val="32"/>
          <w:lang w:val="en-US" w:eastAsia="zh-CN"/>
        </w:rPr>
        <w:t>*******************</w:t>
      </w:r>
      <w:bookmarkStart w:id="0" w:name="_GoBack"/>
      <w:bookmarkEnd w:id="0"/>
    </w:p>
    <w:p>
      <w:pPr>
        <w:keepNext w:val="0"/>
        <w:keepLines w:val="0"/>
        <w:pageBreakBefore w:val="0"/>
        <w:widowControl/>
        <w:kinsoku/>
        <w:wordWrap/>
        <w:overflowPunct/>
        <w:topLinePunct w:val="0"/>
        <w:autoSpaceDE/>
        <w:autoSpaceDN/>
        <w:bidi w:val="0"/>
        <w:adjustRightInd w:val="0"/>
        <w:snapToGrid w:val="0"/>
        <w:spacing w:line="480" w:lineRule="atLeas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kinsoku/>
        <w:wordWrap/>
        <w:overflowPunct/>
        <w:topLinePunct w:val="0"/>
        <w:autoSpaceDE/>
        <w:autoSpaceDN/>
        <w:bidi w:val="0"/>
        <w:adjustRightInd w:val="0"/>
        <w:snapToGrid w:val="0"/>
        <w:spacing w:line="48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2022年05月24日淮南市田家庵区市场监督管理局委托安徽省公众检验研究院有限公司对江苏苏果超市有限公司淮南泉山路购物广场销售的“鲜吃酸奶蛋糕”（生产日期：2022-04-12）进行监督抽验，经检验，检验结论为“不合格”。我局执法人员于2022年06月23日从“国家食品安全抽样检验信息系统网站”下载并打印检验结论为不合格的《检验报告》（№:FC2022056263)和《国家食品安全抽样检验结果通知书》（XC22340403342242015），并于2022年06月28日向当事人现场送达了该《检验报告》、《国家食品安全抽样检验结果通知书》。当事人在法定期限内未提出复检申请。</w:t>
      </w:r>
      <w:r>
        <w:rPr>
          <w:rFonts w:hint="eastAsia" w:ascii="仿宋_GB2312" w:hAnsi="仿宋_GB2312" w:eastAsia="仿宋_GB2312" w:cs="仿宋_GB2312"/>
          <w:sz w:val="32"/>
          <w:szCs w:val="32"/>
        </w:rPr>
        <w:t>我局</w:t>
      </w:r>
      <w:r>
        <w:rPr>
          <w:rFonts w:hint="eastAsia" w:ascii="仿宋_GB2312" w:hAnsi="仿宋_GB2312" w:eastAsia="仿宋_GB2312" w:cs="仿宋_GB2312"/>
          <w:sz w:val="32"/>
          <w:szCs w:val="32"/>
          <w:highlight w:val="none"/>
        </w:rPr>
        <w:t>于202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06</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28</w:t>
      </w:r>
      <w:r>
        <w:rPr>
          <w:rFonts w:hint="eastAsia" w:ascii="仿宋_GB2312" w:hAnsi="仿宋_GB2312" w:eastAsia="仿宋_GB2312" w:cs="仿宋_GB2312"/>
          <w:sz w:val="32"/>
          <w:szCs w:val="32"/>
          <w:highlight w:val="none"/>
        </w:rPr>
        <w:t>日立</w:t>
      </w:r>
      <w:r>
        <w:rPr>
          <w:rFonts w:hint="eastAsia" w:ascii="仿宋_GB2312" w:hAnsi="仿宋_GB2312" w:eastAsia="仿宋_GB2312" w:cs="仿宋_GB2312"/>
          <w:sz w:val="32"/>
          <w:szCs w:val="32"/>
        </w:rPr>
        <w:t>案调查，并指派执法人员</w:t>
      </w:r>
      <w:r>
        <w:rPr>
          <w:rFonts w:hint="eastAsia" w:ascii="仿宋_GB2312" w:hAnsi="仿宋_GB2312" w:eastAsia="仿宋_GB2312" w:cs="仿宋_GB2312"/>
          <w:sz w:val="32"/>
          <w:szCs w:val="32"/>
          <w:lang w:val="en-US" w:eastAsia="zh-CN"/>
        </w:rPr>
        <w:t>从光玉</w:t>
      </w:r>
      <w:r>
        <w:rPr>
          <w:rFonts w:hint="eastAsia" w:ascii="仿宋_GB2312" w:hAnsi="仿宋_GB2312" w:eastAsia="仿宋_GB2312" w:cs="仿宋_GB2312"/>
          <w:sz w:val="32"/>
          <w:szCs w:val="32"/>
        </w:rPr>
        <w:t>(执法证号∶D801600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)、张雯雯(执法证号∶D58001398)负责对该案查处</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07</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22</w:t>
      </w:r>
      <w:r>
        <w:rPr>
          <w:rFonts w:hint="eastAsia" w:ascii="仿宋_GB2312" w:hAnsi="仿宋_GB2312" w:eastAsia="仿宋_GB2312" w:cs="仿宋_GB2312"/>
          <w:sz w:val="32"/>
          <w:szCs w:val="32"/>
          <w:highlight w:val="none"/>
        </w:rPr>
        <w:t>日在</w:t>
      </w:r>
      <w:r>
        <w:rPr>
          <w:rFonts w:hint="eastAsia" w:ascii="仿宋_GB2312" w:hAnsi="仿宋_GB2312" w:eastAsia="仿宋_GB2312" w:cs="仿宋_GB2312"/>
          <w:sz w:val="32"/>
          <w:szCs w:val="32"/>
        </w:rPr>
        <w:t>淮南市田家庵区市场监督管理局</w:t>
      </w:r>
      <w:r>
        <w:rPr>
          <w:rFonts w:hint="eastAsia" w:ascii="仿宋_GB2312" w:hAnsi="仿宋_GB2312" w:eastAsia="仿宋_GB2312" w:cs="仿宋_GB2312"/>
          <w:sz w:val="32"/>
          <w:szCs w:val="32"/>
          <w:lang w:val="en-US" w:eastAsia="zh-CN"/>
        </w:rPr>
        <w:t>经济检查执法股</w:t>
      </w:r>
      <w:r>
        <w:rPr>
          <w:rFonts w:hint="eastAsia" w:ascii="仿宋_GB2312" w:hAnsi="仿宋_GB2312" w:eastAsia="仿宋_GB2312" w:cs="仿宋_GB2312"/>
          <w:sz w:val="32"/>
          <w:szCs w:val="32"/>
        </w:rPr>
        <w:t>依法对当事人进行了询问。</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经查明，当事人销售的食品名称：</w:t>
      </w:r>
      <w:r>
        <w:rPr>
          <w:rFonts w:hint="eastAsia" w:ascii="仿宋_GB2312" w:hAnsi="仿宋_GB2312" w:eastAsia="仿宋_GB2312" w:cs="仿宋_GB2312"/>
          <w:sz w:val="32"/>
          <w:szCs w:val="32"/>
          <w:lang w:eastAsia="zh-CN"/>
        </w:rPr>
        <w:t>“鲜吃酸奶蛋糕”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生产</w:t>
      </w:r>
      <w:r>
        <w:rPr>
          <w:rFonts w:hint="eastAsia" w:ascii="仿宋_GB2312" w:hAnsi="仿宋_GB2312" w:eastAsia="仿宋_GB2312" w:cs="仿宋_GB2312"/>
          <w:sz w:val="32"/>
          <w:szCs w:val="32"/>
        </w:rPr>
        <w:t>日期：202</w:t>
      </w:r>
      <w:r>
        <w:rPr>
          <w:rFonts w:hint="eastAsia" w:ascii="仿宋_GB2312" w:hAnsi="仿宋_GB2312" w:eastAsia="仿宋_GB2312" w:cs="仿宋_GB2312"/>
          <w:sz w:val="32"/>
          <w:szCs w:val="32"/>
          <w:lang w:val="en-US" w:eastAsia="zh-CN"/>
        </w:rPr>
        <w:t>2-04-12</w:t>
      </w:r>
      <w:r>
        <w:rPr>
          <w:rFonts w:hint="eastAsia" w:ascii="仿宋_GB2312" w:hAnsi="仿宋_GB2312" w:eastAsia="仿宋_GB2312" w:cs="仿宋_GB2312"/>
          <w:sz w:val="32"/>
          <w:szCs w:val="32"/>
        </w:rPr>
        <w:t>），经抽样检验，</w:t>
      </w:r>
      <w:r>
        <w:rPr>
          <w:rFonts w:hint="eastAsia" w:ascii="仿宋_GB2312" w:hAnsi="仿宋_GB2312" w:eastAsia="仿宋_GB2312" w:cs="仿宋_GB2312"/>
          <w:sz w:val="32"/>
          <w:szCs w:val="32"/>
          <w:lang w:val="en-US" w:eastAsia="zh-CN"/>
        </w:rPr>
        <w:t>菌落总数</w:t>
      </w:r>
      <w:r>
        <w:rPr>
          <w:rFonts w:hint="eastAsia" w:ascii="仿宋_GB2312" w:hAnsi="仿宋_GB2312" w:eastAsia="仿宋_GB2312" w:cs="仿宋_GB2312"/>
          <w:sz w:val="32"/>
          <w:szCs w:val="32"/>
        </w:rPr>
        <w:t>项目不符合</w:t>
      </w:r>
      <w:r>
        <w:rPr>
          <w:rFonts w:hint="eastAsia" w:ascii="仿宋_GB2312" w:hAnsi="仿宋_GB2312" w:eastAsia="仿宋_GB2312" w:cs="仿宋_GB2312"/>
          <w:sz w:val="32"/>
          <w:szCs w:val="32"/>
          <w:lang w:val="en-US" w:eastAsia="zh-CN"/>
        </w:rPr>
        <w:t>GB 7099-2015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食品安全国家标准 糕点、面包</w:t>
      </w:r>
      <w:r>
        <w:rPr>
          <w:rFonts w:hint="eastAsia" w:ascii="仿宋_GB2312" w:hAnsi="仿宋_GB2312" w:eastAsia="仿宋_GB2312" w:cs="仿宋_GB2312"/>
          <w:sz w:val="32"/>
          <w:szCs w:val="32"/>
        </w:rPr>
        <w:t>》要求，检验结论为不合格。根据当事</w:t>
      </w:r>
      <w:r>
        <w:rPr>
          <w:rFonts w:hint="eastAsia" w:ascii="仿宋_GB2312" w:hAnsi="仿宋_GB2312" w:eastAsia="仿宋_GB2312" w:cs="仿宋_GB2312"/>
          <w:sz w:val="32"/>
          <w:szCs w:val="32"/>
          <w:lang w:val="en-US" w:eastAsia="zh-CN"/>
        </w:rPr>
        <w:t>人的</w:t>
      </w:r>
      <w:r>
        <w:rPr>
          <w:rFonts w:hint="eastAsia" w:ascii="仿宋_GB2312" w:hAnsi="仿宋_GB2312" w:eastAsia="仿宋_GB2312" w:cs="仿宋_GB2312"/>
          <w:sz w:val="32"/>
          <w:szCs w:val="32"/>
        </w:rPr>
        <w:t>询问笔录和</w:t>
      </w:r>
      <w:r>
        <w:rPr>
          <w:rFonts w:hint="eastAsia" w:ascii="仿宋_GB2312" w:hAnsi="仿宋_GB2312" w:eastAsia="仿宋_GB2312" w:cs="仿宋_GB2312"/>
          <w:sz w:val="32"/>
          <w:szCs w:val="32"/>
          <w:lang w:val="en-US" w:eastAsia="zh-CN"/>
        </w:rPr>
        <w:t>提供的单据</w:t>
      </w:r>
      <w:r>
        <w:rPr>
          <w:rFonts w:hint="eastAsia" w:ascii="仿宋_GB2312" w:hAnsi="仿宋_GB2312" w:eastAsia="仿宋_GB2312" w:cs="仿宋_GB2312"/>
          <w:sz w:val="32"/>
          <w:szCs w:val="32"/>
        </w:rPr>
        <w:t>，当事人共购进上述经批次</w:t>
      </w:r>
      <w:r>
        <w:rPr>
          <w:rFonts w:hint="eastAsia" w:ascii="仿宋_GB2312" w:hAnsi="仿宋_GB2312" w:eastAsia="仿宋_GB2312" w:cs="仿宋_GB2312"/>
          <w:sz w:val="32"/>
          <w:szCs w:val="32"/>
          <w:lang w:eastAsia="zh-CN"/>
        </w:rPr>
        <w:t>“鲜吃酸奶蛋糕”</w:t>
      </w:r>
      <w:r>
        <w:rPr>
          <w:rFonts w:hint="eastAsia" w:ascii="仿宋_GB2312" w:hAnsi="仿宋_GB2312" w:eastAsia="仿宋_GB2312" w:cs="仿宋_GB2312"/>
          <w:sz w:val="32"/>
          <w:szCs w:val="32"/>
          <w:lang w:val="en-US" w:eastAsia="zh-CN"/>
        </w:rPr>
        <w:t>4kg</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已全部售完无剩余</w:t>
      </w:r>
      <w:r>
        <w:rPr>
          <w:rFonts w:hint="eastAsia" w:ascii="仿宋_GB2312" w:hAnsi="仿宋_GB2312" w:eastAsia="仿宋_GB2312" w:cs="仿宋_GB2312"/>
          <w:sz w:val="32"/>
          <w:szCs w:val="32"/>
        </w:rPr>
        <w:t>。当事人销售的不符合食品安全标准食品</w:t>
      </w:r>
      <w:r>
        <w:rPr>
          <w:rFonts w:hint="eastAsia" w:ascii="仿宋_GB2312" w:hAnsi="仿宋_GB2312" w:eastAsia="仿宋_GB2312" w:cs="仿宋_GB2312"/>
          <w:sz w:val="32"/>
          <w:szCs w:val="32"/>
          <w:lang w:eastAsia="zh-CN"/>
        </w:rPr>
        <w:t>“鲜吃酸奶蛋糕”</w:t>
      </w:r>
      <w:r>
        <w:rPr>
          <w:rFonts w:hint="eastAsia" w:ascii="仿宋_GB2312" w:hAnsi="仿宋_GB2312" w:eastAsia="仿宋_GB2312" w:cs="仿宋_GB2312"/>
          <w:sz w:val="32"/>
          <w:szCs w:val="32"/>
        </w:rPr>
        <w:t>进价</w:t>
      </w:r>
      <w:r>
        <w:rPr>
          <w:rFonts w:hint="eastAsia" w:ascii="仿宋_GB2312" w:hAnsi="仿宋_GB2312" w:eastAsia="仿宋_GB2312" w:cs="仿宋_GB2312"/>
          <w:sz w:val="32"/>
          <w:szCs w:val="32"/>
          <w:lang w:val="en-US" w:eastAsia="zh-CN"/>
        </w:rPr>
        <w:t>43.17</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kg</w:t>
      </w:r>
      <w:r>
        <w:rPr>
          <w:rFonts w:hint="eastAsia" w:ascii="仿宋_GB2312" w:hAnsi="仿宋_GB2312" w:eastAsia="仿宋_GB2312" w:cs="仿宋_GB2312"/>
          <w:sz w:val="32"/>
          <w:szCs w:val="32"/>
        </w:rPr>
        <w:t>，售价</w:t>
      </w:r>
      <w:r>
        <w:rPr>
          <w:rFonts w:hint="eastAsia" w:ascii="仿宋_GB2312" w:hAnsi="仿宋_GB2312" w:eastAsia="仿宋_GB2312" w:cs="仿宋_GB2312"/>
          <w:sz w:val="32"/>
          <w:szCs w:val="32"/>
          <w:lang w:val="en-US" w:eastAsia="zh-CN"/>
        </w:rPr>
        <w:t>45.8</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kg</w:t>
      </w:r>
      <w:r>
        <w:rPr>
          <w:rFonts w:hint="eastAsia" w:ascii="仿宋_GB2312" w:hAnsi="仿宋_GB2312" w:eastAsia="仿宋_GB2312" w:cs="仿宋_GB2312"/>
          <w:sz w:val="32"/>
          <w:szCs w:val="32"/>
        </w:rPr>
        <w:t>，货值金额</w:t>
      </w:r>
      <w:r>
        <w:rPr>
          <w:rFonts w:hint="eastAsia" w:ascii="仿宋_GB2312" w:hAnsi="仿宋_GB2312" w:eastAsia="仿宋_GB2312" w:cs="仿宋_GB2312"/>
          <w:sz w:val="32"/>
          <w:szCs w:val="32"/>
          <w:highlight w:val="none"/>
          <w:lang w:val="en-US" w:eastAsia="zh-CN"/>
        </w:rPr>
        <w:t>183.2</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rPr>
        <w:t>，违法所得</w:t>
      </w:r>
      <w:r>
        <w:rPr>
          <w:rFonts w:hint="eastAsia" w:ascii="仿宋_GB2312" w:hAnsi="仿宋_GB2312" w:eastAsia="仿宋_GB2312" w:cs="仿宋_GB2312"/>
          <w:sz w:val="32"/>
          <w:szCs w:val="32"/>
          <w:highlight w:val="none"/>
          <w:lang w:val="en-US" w:eastAsia="zh-CN"/>
        </w:rPr>
        <w:t>10.52</w:t>
      </w:r>
      <w:r>
        <w:rPr>
          <w:rFonts w:hint="eastAsia" w:ascii="仿宋_GB2312" w:hAnsi="仿宋_GB2312" w:eastAsia="仿宋_GB2312" w:cs="仿宋_GB2312"/>
          <w:sz w:val="32"/>
          <w:szCs w:val="32"/>
        </w:rPr>
        <w:t>元。当事人对上述批次</w:t>
      </w:r>
      <w:r>
        <w:rPr>
          <w:rFonts w:hint="eastAsia" w:ascii="仿宋_GB2312" w:hAnsi="仿宋_GB2312" w:eastAsia="仿宋_GB2312" w:cs="仿宋_GB2312"/>
          <w:sz w:val="32"/>
          <w:szCs w:val="32"/>
          <w:lang w:eastAsia="zh-CN"/>
        </w:rPr>
        <w:t>“鲜吃酸奶蛋糕”</w:t>
      </w:r>
      <w:r>
        <w:rPr>
          <w:rFonts w:hint="eastAsia" w:ascii="仿宋_GB2312" w:hAnsi="仿宋_GB2312" w:eastAsia="仿宋_GB2312" w:cs="仿宋_GB2312"/>
          <w:sz w:val="32"/>
          <w:szCs w:val="32"/>
        </w:rPr>
        <w:t>已采取公告召回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公告期间无消费者退回上述批次</w:t>
      </w:r>
      <w:r>
        <w:rPr>
          <w:rFonts w:hint="eastAsia" w:ascii="仿宋_GB2312" w:hAnsi="仿宋_GB2312" w:eastAsia="仿宋_GB2312" w:cs="仿宋_GB2312"/>
          <w:sz w:val="32"/>
          <w:szCs w:val="32"/>
          <w:lang w:eastAsia="zh-CN"/>
        </w:rPr>
        <w:t>“鲜吃酸奶蛋糕”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证据材料：</w:t>
      </w:r>
    </w:p>
    <w:p>
      <w:pPr>
        <w:keepNext w:val="0"/>
        <w:keepLines w:val="0"/>
        <w:pageBreakBefore w:val="0"/>
        <w:widowControl/>
        <w:kinsoku/>
        <w:wordWrap/>
        <w:overflowPunct/>
        <w:topLinePunct w:val="0"/>
        <w:autoSpaceDE/>
        <w:autoSpaceDN/>
        <w:bidi w:val="0"/>
        <w:adjustRightInd w:val="0"/>
        <w:snapToGrid w:val="0"/>
        <w:spacing w:line="48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1.《国家食品安全抽样检验抽样单（非网络）》（</w:t>
      </w:r>
      <w:r>
        <w:rPr>
          <w:rFonts w:hint="eastAsia" w:ascii="仿宋_GB2312" w:hAnsi="仿宋_GB2312" w:eastAsia="仿宋_GB2312" w:cs="仿宋_GB2312"/>
          <w:sz w:val="32"/>
          <w:szCs w:val="32"/>
          <w:lang w:val="en-US" w:eastAsia="zh-CN"/>
        </w:rPr>
        <w:t>XC22340403342242015</w:t>
      </w:r>
      <w:r>
        <w:rPr>
          <w:rFonts w:hint="eastAsia" w:ascii="仿宋_GB2312" w:hAnsi="仿宋_GB2312" w:eastAsia="仿宋_GB2312" w:cs="仿宋_GB2312"/>
          <w:sz w:val="32"/>
          <w:szCs w:val="32"/>
        </w:rPr>
        <w:t>）一份，证明</w:t>
      </w:r>
      <w:r>
        <w:rPr>
          <w:rFonts w:hint="eastAsia" w:ascii="仿宋_GB2312" w:hAnsi="仿宋_GB2312" w:eastAsia="仿宋_GB2312" w:cs="仿宋_GB2312"/>
          <w:sz w:val="32"/>
          <w:szCs w:val="32"/>
          <w:lang w:val="en-US" w:eastAsia="zh-CN"/>
        </w:rPr>
        <w:t>淮南市田家庵区市场监督管理局委托安徽省公众检验研究院有限公司对</w:t>
      </w:r>
      <w:r>
        <w:rPr>
          <w:rFonts w:hint="eastAsia" w:ascii="仿宋_GB2312" w:hAnsi="仿宋_GB2312" w:eastAsia="仿宋_GB2312" w:cs="仿宋_GB2312"/>
          <w:sz w:val="32"/>
          <w:szCs w:val="32"/>
        </w:rPr>
        <w:t>当事人销售的</w:t>
      </w:r>
      <w:r>
        <w:rPr>
          <w:rFonts w:hint="eastAsia" w:ascii="仿宋_GB2312" w:hAnsi="仿宋_GB2312" w:eastAsia="仿宋_GB2312" w:cs="仿宋_GB2312"/>
          <w:sz w:val="32"/>
          <w:szCs w:val="32"/>
          <w:lang w:eastAsia="zh-CN"/>
        </w:rPr>
        <w:t>“鲜吃酸奶蛋糕”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生产</w:t>
      </w:r>
      <w:r>
        <w:rPr>
          <w:rFonts w:hint="eastAsia" w:ascii="仿宋_GB2312" w:hAnsi="仿宋_GB2312" w:eastAsia="仿宋_GB2312" w:cs="仿宋_GB2312"/>
          <w:sz w:val="32"/>
          <w:szCs w:val="32"/>
        </w:rPr>
        <w:t>日期：202</w:t>
      </w:r>
      <w:r>
        <w:rPr>
          <w:rFonts w:hint="eastAsia" w:ascii="仿宋_GB2312" w:hAnsi="仿宋_GB2312" w:eastAsia="仿宋_GB2312" w:cs="仿宋_GB2312"/>
          <w:sz w:val="32"/>
          <w:szCs w:val="32"/>
          <w:lang w:val="en-US" w:eastAsia="zh-CN"/>
        </w:rPr>
        <w:t>2-04-12</w:t>
      </w:r>
      <w:r>
        <w:rPr>
          <w:rFonts w:hint="eastAsia" w:ascii="仿宋_GB2312" w:hAnsi="仿宋_GB2312" w:eastAsia="仿宋_GB2312" w:cs="仿宋_GB2312"/>
          <w:sz w:val="32"/>
          <w:szCs w:val="32"/>
        </w:rPr>
        <w:t>）进行抽检的事实；</w:t>
      </w:r>
    </w:p>
    <w:p>
      <w:pPr>
        <w:keepNext w:val="0"/>
        <w:keepLines w:val="0"/>
        <w:pageBreakBefore w:val="0"/>
        <w:widowControl/>
        <w:kinsoku/>
        <w:wordWrap/>
        <w:overflowPunct/>
        <w:topLinePunct w:val="0"/>
        <w:autoSpaceDE/>
        <w:autoSpaceDN/>
        <w:bidi w:val="0"/>
        <w:adjustRightInd w:val="0"/>
        <w:snapToGrid w:val="0"/>
        <w:spacing w:line="480" w:lineRule="atLeas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2.《检验报告》（</w:t>
      </w:r>
      <w:r>
        <w:rPr>
          <w:rFonts w:hint="eastAsia" w:ascii="仿宋_GB2312" w:hAnsi="仿宋_GB2312" w:eastAsia="仿宋_GB2312" w:cs="仿宋_GB2312"/>
          <w:sz w:val="32"/>
          <w:szCs w:val="32"/>
          <w:lang w:val="en-US" w:eastAsia="zh-CN"/>
        </w:rPr>
        <w:t>№:FC2022056263</w:t>
      </w:r>
      <w:r>
        <w:rPr>
          <w:rFonts w:hint="eastAsia" w:ascii="仿宋_GB2312" w:hAnsi="仿宋_GB2312" w:eastAsia="仿宋_GB2312" w:cs="仿宋_GB2312"/>
          <w:sz w:val="32"/>
          <w:szCs w:val="32"/>
        </w:rPr>
        <w:t>）一份，证明当事人销售的</w:t>
      </w:r>
      <w:r>
        <w:rPr>
          <w:rFonts w:hint="eastAsia" w:ascii="仿宋_GB2312" w:hAnsi="仿宋_GB2312" w:eastAsia="仿宋_GB2312" w:cs="仿宋_GB2312"/>
          <w:sz w:val="32"/>
          <w:szCs w:val="32"/>
          <w:lang w:eastAsia="zh-CN"/>
        </w:rPr>
        <w:t>“鲜吃酸奶蛋糕”</w:t>
      </w:r>
      <w:r>
        <w:rPr>
          <w:rFonts w:hint="eastAsia" w:ascii="仿宋_GB2312" w:hAnsi="仿宋_GB2312" w:eastAsia="仿宋_GB2312" w:cs="仿宋_GB2312"/>
          <w:sz w:val="32"/>
          <w:szCs w:val="32"/>
        </w:rPr>
        <w:t>检验结论不合格的事实</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3.《询问笔录》和</w:t>
      </w:r>
      <w:r>
        <w:rPr>
          <w:rFonts w:hint="eastAsia" w:ascii="仿宋_GB2312" w:hAnsi="仿宋_GB2312" w:eastAsia="仿宋_GB2312" w:cs="仿宋_GB2312"/>
          <w:sz w:val="32"/>
          <w:szCs w:val="32"/>
          <w:lang w:val="en-US" w:eastAsia="zh-CN"/>
        </w:rPr>
        <w:t>进货</w:t>
      </w:r>
      <w:r>
        <w:rPr>
          <w:rFonts w:hint="eastAsia" w:ascii="仿宋_GB2312" w:hAnsi="仿宋_GB2312" w:eastAsia="仿宋_GB2312" w:cs="仿宋_GB2312"/>
          <w:sz w:val="32"/>
          <w:szCs w:val="32"/>
        </w:rPr>
        <w:t>单据各一份，证明当事人销售不合格批次食品的货值金额</w:t>
      </w:r>
      <w:r>
        <w:rPr>
          <w:rFonts w:hint="eastAsia" w:ascii="仿宋_GB2312" w:hAnsi="仿宋_GB2312" w:eastAsia="仿宋_GB2312" w:cs="仿宋_GB2312"/>
          <w:sz w:val="32"/>
          <w:szCs w:val="32"/>
          <w:highlight w:val="none"/>
          <w:lang w:val="en-US" w:eastAsia="zh-CN"/>
        </w:rPr>
        <w:t>183.2</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rPr>
        <w:t>，违法所得</w:t>
      </w:r>
      <w:r>
        <w:rPr>
          <w:rFonts w:hint="eastAsia" w:ascii="仿宋_GB2312" w:hAnsi="仿宋_GB2312" w:eastAsia="仿宋_GB2312" w:cs="仿宋_GB2312"/>
          <w:sz w:val="32"/>
          <w:szCs w:val="32"/>
          <w:highlight w:val="none"/>
          <w:lang w:val="en-US" w:eastAsia="zh-CN"/>
        </w:rPr>
        <w:t>10.52</w:t>
      </w:r>
      <w:r>
        <w:rPr>
          <w:rFonts w:hint="eastAsia" w:ascii="仿宋_GB2312" w:hAnsi="仿宋_GB2312" w:eastAsia="仿宋_GB2312" w:cs="仿宋_GB2312"/>
          <w:sz w:val="32"/>
          <w:szCs w:val="32"/>
        </w:rPr>
        <w:t>元的事实；</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4.当事人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营业执照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食品经营许可证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及法定代表人身份证复印件各一份，证明当事人的主体资格；</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5.当事人出具的授权委托书原件、受委托人的身份证复印件各一份，证明受委托人的身份；</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.当事人提交的不合格食品召回公告、召回情况及整改报告各一份，证明已对不合格食品采取公告召回。</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以上证据均经过了出证人的确认。</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本案未采取行政强制措施，对照行政机关移送涉嫌犯罪案件的标准，尚不够移送追诉当事人刑事责任的条件。</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none"/>
          <w:lang w:val="en-US" w:eastAsia="zh-CN"/>
        </w:rPr>
        <w:t>09</w:t>
      </w:r>
      <w:r>
        <w:rPr>
          <w:rFonts w:hint="eastAsia" w:ascii="仿宋_GB2312" w:hAnsi="仿宋_GB2312" w:eastAsia="仿宋_GB2312" w:cs="仿宋_GB2312"/>
          <w:sz w:val="32"/>
          <w:szCs w:val="32"/>
          <w:highlight w:val="none"/>
          <w:u w:val="none"/>
        </w:rPr>
        <w:t>月</w:t>
      </w:r>
      <w:r>
        <w:rPr>
          <w:rFonts w:hint="eastAsia" w:ascii="仿宋_GB2312" w:hAnsi="仿宋_GB2312" w:eastAsia="仿宋_GB2312" w:cs="仿宋_GB2312"/>
          <w:sz w:val="32"/>
          <w:szCs w:val="32"/>
          <w:highlight w:val="none"/>
          <w:u w:val="none"/>
          <w:lang w:val="en-US" w:eastAsia="zh-CN"/>
        </w:rPr>
        <w:t>01</w:t>
      </w:r>
      <w:r>
        <w:rPr>
          <w:rFonts w:hint="eastAsia" w:ascii="仿宋_GB2312" w:hAnsi="仿宋_GB2312" w:eastAsia="仿宋_GB2312" w:cs="仿宋_GB2312"/>
          <w:sz w:val="32"/>
          <w:szCs w:val="32"/>
          <w:highlight w:val="none"/>
          <w:u w:val="none"/>
        </w:rPr>
        <w:t>日</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本局向当事人送达了</w:t>
      </w:r>
      <w:r>
        <w:rPr>
          <w:rFonts w:hint="eastAsia" w:ascii="仿宋_GB2312" w:hAnsi="仿宋_GB2312" w:eastAsia="仿宋_GB2312" w:cs="仿宋_GB2312"/>
          <w:sz w:val="32"/>
          <w:szCs w:val="32"/>
          <w:lang w:val="en-US" w:eastAsia="zh-CN"/>
        </w:rPr>
        <w:t>淮</w:t>
      </w:r>
      <w:r>
        <w:rPr>
          <w:rFonts w:hint="eastAsia" w:ascii="仿宋_GB2312" w:hAnsi="仿宋_GB2312" w:eastAsia="仿宋_GB2312" w:cs="仿宋_GB2312"/>
          <w:sz w:val="32"/>
          <w:szCs w:val="32"/>
        </w:rPr>
        <w:t>市监</w:t>
      </w:r>
      <w:r>
        <w:rPr>
          <w:rFonts w:hint="eastAsia" w:ascii="仿宋_GB2312" w:hAnsi="仿宋_GB2312" w:eastAsia="仿宋_GB2312" w:cs="仿宋_GB2312"/>
          <w:sz w:val="32"/>
          <w:szCs w:val="32"/>
          <w:lang w:val="en-US" w:eastAsia="zh-CN"/>
        </w:rPr>
        <w:t>田罚</w:t>
      </w:r>
      <w:r>
        <w:rPr>
          <w:rFonts w:hint="eastAsia" w:ascii="仿宋_GB2312" w:hAnsi="仿宋_GB2312" w:eastAsia="仿宋_GB2312" w:cs="仿宋_GB2312"/>
          <w:sz w:val="32"/>
          <w:szCs w:val="32"/>
        </w:rPr>
        <w:t>告〔202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75</w:t>
      </w:r>
      <w:r>
        <w:rPr>
          <w:rFonts w:hint="eastAsia" w:ascii="仿宋_GB2312" w:hAnsi="仿宋_GB2312" w:eastAsia="仿宋_GB2312" w:cs="仿宋_GB2312"/>
          <w:sz w:val="32"/>
          <w:szCs w:val="32"/>
        </w:rPr>
        <w:t>号行政处罚告知书，当事人在法定期限内未进行陈述、申辩。</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我局认为</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val="0"/>
        <w:snapToGrid w:val="0"/>
        <w:spacing w:line="480" w:lineRule="atLeas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当事人销售不符合食品安全标准</w:t>
      </w:r>
      <w:r>
        <w:rPr>
          <w:rFonts w:hint="eastAsia" w:ascii="仿宋_GB2312" w:hAnsi="仿宋_GB2312" w:eastAsia="仿宋_GB2312" w:cs="仿宋_GB2312"/>
          <w:sz w:val="32"/>
          <w:szCs w:val="32"/>
          <w:lang w:val="en-US" w:eastAsia="zh-CN"/>
        </w:rPr>
        <w:t>食品</w:t>
      </w:r>
      <w:r>
        <w:rPr>
          <w:rFonts w:hint="eastAsia" w:ascii="仿宋_GB2312" w:hAnsi="仿宋_GB2312" w:eastAsia="仿宋_GB2312" w:cs="仿宋_GB2312"/>
          <w:sz w:val="32"/>
          <w:szCs w:val="32"/>
        </w:rPr>
        <w:t>的行为，违反了《中华人民共和国食品安全法》第三十四条“禁止生产经营下列食品、食品添加剂、食品相关产品：”第（二）项“致病性微生物，农药残留、兽药残留、生物毒素、重金属等污染物质以及其他危害人体健康的物质含量超过食品安全标准限量的食品、食品添加剂、食品相关产品;”</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规定。</w:t>
      </w:r>
    </w:p>
    <w:p>
      <w:pPr>
        <w:keepNext w:val="0"/>
        <w:keepLines w:val="0"/>
        <w:pageBreakBefore w:val="0"/>
        <w:kinsoku/>
        <w:wordWrap/>
        <w:overflowPunct/>
        <w:topLinePunct w:val="0"/>
        <w:autoSpaceDE/>
        <w:autoSpaceDN/>
        <w:bidi w:val="0"/>
        <w:adjustRightInd w:val="0"/>
        <w:snapToGrid w:val="0"/>
        <w:spacing w:line="48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鉴于当事人在本案调查过程中能够积极配合执法人员查处违法行为,对不合格食品进行召回，</w:t>
      </w:r>
      <w:r>
        <w:rPr>
          <w:rFonts w:hint="eastAsia" w:ascii="仿宋_GB2312" w:hAnsi="仿宋_GB2312" w:eastAsia="仿宋_GB2312" w:cs="仿宋_GB2312"/>
          <w:sz w:val="32"/>
          <w:szCs w:val="32"/>
          <w:lang w:val="en-US" w:eastAsia="zh-CN"/>
        </w:rPr>
        <w:t>积极消除</w:t>
      </w:r>
      <w:r>
        <w:rPr>
          <w:rFonts w:hint="eastAsia" w:ascii="仿宋_GB2312" w:hAnsi="仿宋_GB2312" w:eastAsia="仿宋_GB2312" w:cs="仿宋_GB2312"/>
          <w:sz w:val="32"/>
          <w:szCs w:val="32"/>
        </w:rPr>
        <w:t>违法行为的危害后果。依据《中华人民共和国食品安全法》第一百二十四条第一款第（一）项“违反本法规定，有下列情形之一，尚不构成犯罪的，由县级以上人民政府食品药品监督管理部门没收违法所得和违法生产经营的食品、食品添加剂，并可以没收用于违法生产经营的工具、设备、原料等物品；违法生产经营的食品、食品添加剂货值金额不足一万元的，并处五万元以上十万元以下罚款；货值金额一万元以上的，并处货值金额十倍以上二十倍以下罚款；情节严重的，吊销许可证：（一）生产经营致病性微生物，农药残留、兽药残留、生物毒素、重金属等污染物质以及其他危害人体健康的物质含量超过食品安全标准限量的食品、食品添加剂;”、《中华人民共和国行政处罚法》第</w:t>
      </w:r>
      <w:r>
        <w:rPr>
          <w:rFonts w:hint="eastAsia" w:ascii="仿宋_GB2312" w:hAnsi="仿宋_GB2312" w:eastAsia="仿宋_GB2312" w:cs="仿宋_GB2312"/>
          <w:sz w:val="32"/>
          <w:szCs w:val="32"/>
          <w:lang w:val="en-US" w:eastAsia="zh-CN"/>
        </w:rPr>
        <w:t>二十八</w:t>
      </w:r>
      <w:r>
        <w:rPr>
          <w:rFonts w:hint="eastAsia" w:ascii="仿宋_GB2312" w:hAnsi="仿宋_GB2312" w:eastAsia="仿宋_GB2312" w:cs="仿宋_GB2312"/>
          <w:sz w:val="32"/>
          <w:szCs w:val="32"/>
        </w:rPr>
        <w:t>条“行政机关实施行政处罚时，应当责令当事人改正或者限期改正违法行为。”和第</w:t>
      </w:r>
      <w:r>
        <w:rPr>
          <w:rFonts w:hint="eastAsia" w:ascii="仿宋_GB2312" w:hAnsi="仿宋_GB2312" w:eastAsia="仿宋_GB2312" w:cs="仿宋_GB2312"/>
          <w:sz w:val="32"/>
          <w:szCs w:val="32"/>
          <w:lang w:val="en-US" w:eastAsia="zh-CN"/>
        </w:rPr>
        <w:t>三十二</w:t>
      </w:r>
      <w:r>
        <w:rPr>
          <w:rFonts w:hint="eastAsia" w:ascii="仿宋_GB2312" w:hAnsi="仿宋_GB2312" w:eastAsia="仿宋_GB2312" w:cs="仿宋_GB2312"/>
          <w:sz w:val="32"/>
          <w:szCs w:val="32"/>
        </w:rPr>
        <w:t>条第一款第（一）项“当事人有下列情形之一的，应当依法从轻或者减轻行政处罚:（一）主动消除或者减轻违法行为危害后果的”之规定，决定责令当事人改正违法行为并予以减轻处罚如下：1.没收违法所得</w:t>
      </w:r>
      <w:r>
        <w:rPr>
          <w:rFonts w:hint="eastAsia" w:ascii="仿宋_GB2312" w:hAnsi="仿宋_GB2312" w:eastAsia="仿宋_GB2312" w:cs="仿宋_GB2312"/>
          <w:sz w:val="32"/>
          <w:szCs w:val="32"/>
          <w:highlight w:val="none"/>
          <w:lang w:val="en-US" w:eastAsia="zh-CN"/>
        </w:rPr>
        <w:t>10.52</w:t>
      </w:r>
      <w:r>
        <w:rPr>
          <w:rFonts w:hint="eastAsia" w:ascii="仿宋_GB2312" w:hAnsi="仿宋_GB2312" w:eastAsia="仿宋_GB2312" w:cs="仿宋_GB2312"/>
          <w:sz w:val="32"/>
          <w:szCs w:val="32"/>
        </w:rPr>
        <w:t>元；2.罚款人民币10000元。</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当事人应当自收到本处罚决定书之日起十五日内到淮南市农业银行营业部缴纳罚款（账号12609001040020813），当事人逾期不履行行政处罚决定的，本局将依照《中华人民共和国行政处罚法》第</w:t>
      </w:r>
      <w:r>
        <w:rPr>
          <w:rFonts w:hint="eastAsia" w:ascii="仿宋_GB2312" w:hAnsi="仿宋_GB2312" w:eastAsia="仿宋_GB2312" w:cs="仿宋_GB2312"/>
          <w:sz w:val="32"/>
          <w:szCs w:val="32"/>
          <w:lang w:val="en-US" w:eastAsia="zh-CN"/>
        </w:rPr>
        <w:t>七十二</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一）到期不缴纳罚款的，每日按罚款数额的百分之三加处罚款，加处罚款的数额不得超出罚款的数额；（二）根据法律规定，将查封、扣押的财物拍卖、依法处理或者将冻结的存款、汇款划拨抵缴罚款；（三）根据法律规定，采取其他行政强制执行方式；（四）依照《</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"https://baike.baidu.com/item/%E4%B8%AD%E5%8D%8E%E4%BA%BA%E6%B0%91%E5%85%B1%E5%92%8C%E5%9B%BD%E8%A1%8C%E6%94%BF%E5%BC%BA%E5%88%B6%E6%B3%95/9942261" \t "https://baike.baidu.com/item/%E4%B8%AD%E5%8D%8E%E4%BA%BA%E6%B0%91%E5%85%B1%E5%92%8C%E5%9B%BD%E8%A1%8C%E6%94%BF%E5%A4%84%E7%BD%9A%E6%B3%95/_blank"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rPr>
        <w:t>中华人民共和国行政强制法</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》的规定申请人民法院强制执行。</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当事人如不服本行政处罚决定，可在收到本处罚决定书之日起六十日内向</w:t>
      </w:r>
      <w:r>
        <w:rPr>
          <w:rFonts w:hint="eastAsia" w:ascii="仿宋_GB2312" w:hAnsi="仿宋_GB2312" w:eastAsia="仿宋_GB2312" w:cs="仿宋_GB2312"/>
          <w:sz w:val="32"/>
          <w:szCs w:val="32"/>
          <w:lang w:val="en-US" w:eastAsia="zh-CN"/>
        </w:rPr>
        <w:t>安徽省</w:t>
      </w:r>
      <w:r>
        <w:rPr>
          <w:rFonts w:hint="eastAsia" w:ascii="仿宋_GB2312" w:hAnsi="仿宋_GB2312" w:eastAsia="仿宋_GB2312" w:cs="仿宋_GB2312"/>
          <w:sz w:val="32"/>
          <w:szCs w:val="32"/>
        </w:rPr>
        <w:t>市场监督管理局或者是</w:t>
      </w:r>
      <w:r>
        <w:rPr>
          <w:rFonts w:hint="eastAsia" w:ascii="仿宋_GB2312" w:hAnsi="仿宋_GB2312" w:eastAsia="仿宋_GB2312" w:cs="仿宋_GB2312"/>
          <w:sz w:val="32"/>
          <w:szCs w:val="32"/>
          <w:lang w:val="en-US" w:eastAsia="zh-CN"/>
        </w:rPr>
        <w:t>淮南市</w:t>
      </w:r>
      <w:r>
        <w:rPr>
          <w:rFonts w:hint="eastAsia" w:ascii="仿宋_GB2312" w:hAnsi="仿宋_GB2312" w:eastAsia="仿宋_GB2312" w:cs="仿宋_GB2312"/>
          <w:sz w:val="32"/>
          <w:szCs w:val="32"/>
        </w:rPr>
        <w:t>人民政府申请复议;也可在六个月内向</w:t>
      </w:r>
      <w:r>
        <w:rPr>
          <w:rFonts w:hint="eastAsia" w:ascii="仿宋_GB2312" w:hAnsi="仿宋_GB2312" w:eastAsia="仿宋_GB2312" w:cs="仿宋_GB2312"/>
          <w:sz w:val="32"/>
          <w:szCs w:val="32"/>
          <w:lang w:val="en-US" w:eastAsia="zh-CN"/>
        </w:rPr>
        <w:t>淮南市田家庵区</w:t>
      </w:r>
      <w:r>
        <w:rPr>
          <w:rFonts w:hint="eastAsia" w:ascii="仿宋_GB2312" w:hAnsi="仿宋_GB2312" w:eastAsia="仿宋_GB2312" w:cs="仿宋_GB2312"/>
          <w:sz w:val="32"/>
          <w:szCs w:val="32"/>
        </w:rPr>
        <w:t>人民法院提起诉讼。当事人对行政处罚决定不服，申请行政复议或者提起行政诉讼的，行政处罚不停止执行。</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480" w:lineRule="atLeast"/>
        <w:ind w:firstLine="4480" w:firstLineChars="14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淮南市市场监督管理局</w:t>
      </w:r>
    </w:p>
    <w:p>
      <w:pPr>
        <w:keepNext w:val="0"/>
        <w:keepLines w:val="0"/>
        <w:pageBreakBefore w:val="0"/>
        <w:kinsoku/>
        <w:wordWrap/>
        <w:overflowPunct/>
        <w:topLinePunct w:val="0"/>
        <w:autoSpaceDE/>
        <w:autoSpaceDN/>
        <w:bidi w:val="0"/>
        <w:adjustRightInd w:val="0"/>
        <w:snapToGrid w:val="0"/>
        <w:spacing w:line="480" w:lineRule="atLeast"/>
        <w:ind w:firstLine="640" w:firstLineChars="200"/>
        <w:textAlignment w:val="auto"/>
        <w:rPr>
          <w:rFonts w:ascii="仿宋_GB2312" w:hAnsi="仿宋_GB2312" w:eastAsia="仿宋_GB2312" w:cs="仿宋_GB2312"/>
          <w:sz w:val="32"/>
          <w:szCs w:val="32"/>
          <w:highlight w:val="lightGray"/>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 xml:space="preserve"> 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09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09</w:t>
      </w:r>
      <w:r>
        <w:rPr>
          <w:rFonts w:hint="eastAsia" w:ascii="仿宋_GB2312" w:hAnsi="仿宋_GB2312" w:eastAsia="仿宋_GB2312" w:cs="仿宋_GB2312"/>
          <w:sz w:val="32"/>
          <w:szCs w:val="32"/>
          <w:highlight w:val="none"/>
        </w:rPr>
        <w:t>日</w:t>
      </w:r>
    </w:p>
    <w:p>
      <w:pPr>
        <w:keepNext w:val="0"/>
        <w:keepLines w:val="0"/>
        <w:pageBreakBefore w:val="0"/>
        <w:kinsoku/>
        <w:wordWrap/>
        <w:overflowPunct/>
        <w:topLinePunct w:val="0"/>
        <w:bidi w:val="0"/>
        <w:adjustRightInd w:val="0"/>
        <w:snapToGrid w:val="0"/>
        <w:spacing w:line="480" w:lineRule="atLeast"/>
        <w:textAlignment w:val="auto"/>
        <w:rPr>
          <w:rFonts w:asciiTheme="minorEastAsia" w:hAnsiTheme="minorEastAsia" w:cstheme="minorEastAsia"/>
          <w:sz w:val="30"/>
          <w:szCs w:val="30"/>
        </w:rPr>
      </w:pPr>
    </w:p>
    <w:p>
      <w:pPr>
        <w:keepNext w:val="0"/>
        <w:keepLines w:val="0"/>
        <w:pageBreakBefore w:val="0"/>
        <w:kinsoku/>
        <w:wordWrap/>
        <w:overflowPunct/>
        <w:topLinePunct w:val="0"/>
        <w:bidi w:val="0"/>
        <w:adjustRightInd w:val="0"/>
        <w:snapToGrid w:val="0"/>
        <w:spacing w:line="480" w:lineRule="atLeast"/>
        <w:textAlignment w:val="auto"/>
        <w:rPr>
          <w:rFonts w:asciiTheme="minorEastAsia" w:hAnsiTheme="minorEastAsia" w:cstheme="minorEastAsia"/>
          <w:sz w:val="30"/>
          <w:szCs w:val="30"/>
        </w:rPr>
      </w:pPr>
    </w:p>
    <w:p>
      <w:pPr>
        <w:keepNext w:val="0"/>
        <w:keepLines w:val="0"/>
        <w:pageBreakBefore w:val="0"/>
        <w:kinsoku/>
        <w:wordWrap/>
        <w:overflowPunct/>
        <w:topLinePunct w:val="0"/>
        <w:bidi w:val="0"/>
        <w:adjustRightInd w:val="0"/>
        <w:snapToGrid w:val="0"/>
        <w:spacing w:line="480" w:lineRule="atLeast"/>
        <w:textAlignment w:val="auto"/>
        <w:rPr>
          <w:rFonts w:asciiTheme="minorEastAsia" w:hAnsiTheme="minorEastAsia" w:cstheme="minorEastAsia"/>
          <w:sz w:val="30"/>
          <w:szCs w:val="30"/>
        </w:rPr>
      </w:pPr>
    </w:p>
    <w:p>
      <w:pPr>
        <w:pStyle w:val="2"/>
        <w:rPr>
          <w:rFonts w:asciiTheme="minorEastAsia" w:hAnsiTheme="minorEastAsia" w:cstheme="minorEastAsia"/>
          <w:sz w:val="30"/>
          <w:szCs w:val="30"/>
        </w:rPr>
      </w:pPr>
    </w:p>
    <w:p>
      <w:pPr>
        <w:keepNext w:val="0"/>
        <w:keepLines w:val="0"/>
        <w:pageBreakBefore w:val="0"/>
        <w:kinsoku/>
        <w:wordWrap/>
        <w:overflowPunct/>
        <w:topLinePunct w:val="0"/>
        <w:bidi w:val="0"/>
        <w:adjustRightInd w:val="0"/>
        <w:snapToGrid w:val="0"/>
        <w:spacing w:line="480" w:lineRule="atLeast"/>
        <w:textAlignment w:val="auto"/>
        <w:rPr>
          <w:rFonts w:asciiTheme="minorEastAsia" w:hAnsiTheme="minorEastAsia" w:cstheme="minorEastAsia"/>
          <w:sz w:val="30"/>
          <w:szCs w:val="30"/>
        </w:rPr>
      </w:pPr>
    </w:p>
    <w:p>
      <w:pPr>
        <w:keepNext w:val="0"/>
        <w:keepLines w:val="0"/>
        <w:pageBreakBefore w:val="0"/>
        <w:kinsoku/>
        <w:wordWrap/>
        <w:overflowPunct/>
        <w:topLinePunct w:val="0"/>
        <w:bidi w:val="0"/>
        <w:adjustRightInd w:val="0"/>
        <w:snapToGrid w:val="0"/>
        <w:spacing w:line="480" w:lineRule="atLeast"/>
        <w:textAlignment w:val="auto"/>
        <w:rPr>
          <w:rFonts w:asciiTheme="minorEastAsia" w:hAnsiTheme="minorEastAsia" w:cstheme="minorEastAsia"/>
          <w:sz w:val="30"/>
          <w:szCs w:val="30"/>
        </w:rPr>
      </w:pPr>
    </w:p>
    <w:p>
      <w:pPr>
        <w:pStyle w:val="3"/>
        <w:keepNext w:val="0"/>
        <w:keepLines w:val="0"/>
        <w:pageBreakBefore w:val="0"/>
        <w:kinsoku/>
        <w:wordWrap/>
        <w:overflowPunct/>
        <w:topLinePunct w:val="0"/>
        <w:bidi w:val="0"/>
        <w:adjustRightInd w:val="0"/>
        <w:snapToGrid w:val="0"/>
        <w:spacing w:before="1" w:line="480" w:lineRule="atLeast"/>
        <w:textAlignment w:val="auto"/>
        <w:rPr>
          <w:rFonts w:ascii="黑体" w:hAnsi="黑体" w:eastAsia="黑体"/>
          <w:color w:val="231F20"/>
          <w:spacing w:val="-16"/>
        </w:rPr>
      </w:pPr>
      <w:r>
        <w:rPr>
          <w:rFonts w:hint="eastAsia" w:ascii="黑体" w:hAnsi="黑体" w:eastAsia="黑体"/>
          <w:color w:val="231F20"/>
          <w:spacing w:val="-16"/>
        </w:rPr>
        <w:t>（市场监督管理部门将依法向社会公示本行政处罚决定信息）</w:t>
      </w:r>
    </w:p>
    <w:p>
      <w:pPr>
        <w:keepNext w:val="0"/>
        <w:keepLines w:val="0"/>
        <w:pageBreakBefore w:val="0"/>
        <w:kinsoku/>
        <w:wordWrap/>
        <w:overflowPunct/>
        <w:topLinePunct w:val="0"/>
        <w:bidi w:val="0"/>
        <w:adjustRightInd w:val="0"/>
        <w:snapToGrid w:val="0"/>
        <w:spacing w:line="480" w:lineRule="atLeast"/>
        <w:textAlignment w:val="auto"/>
        <w:rPr>
          <w:rFonts w:ascii="黑体" w:hAnsi="黑体" w:eastAsia="黑体"/>
          <w:color w:val="231F20"/>
          <w:spacing w:val="-16"/>
        </w:rPr>
      </w:pPr>
      <w:r>
        <w:rPr>
          <w:rFonts w:ascii="Times New Roman" w:hAnsi="Times New Roman" w:eastAsia="仿宋_GB2312"/>
          <w:sz w:val="32"/>
        </w:rPr>
        <mc:AlternateContent>
          <mc:Choice Requires="wps">
            <w:drawing>
              <wp:anchor distT="0" distB="0" distL="114300" distR="114300" simplePos="0" relativeHeight="251660288" behindDoc="0" locked="0" layoutInCell="1" allowOverlap="1">
                <wp:simplePos x="0" y="0"/>
                <wp:positionH relativeFrom="column">
                  <wp:posOffset>29210</wp:posOffset>
                </wp:positionH>
                <wp:positionV relativeFrom="paragraph">
                  <wp:posOffset>-2540</wp:posOffset>
                </wp:positionV>
                <wp:extent cx="5550535" cy="635"/>
                <wp:effectExtent l="0" t="7620" r="12065" b="14605"/>
                <wp:wrapNone/>
                <wp:docPr id="2" name="直接连接符 2"/>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3pt;margin-top:-0.2pt;height:0.05pt;width:437.05pt;z-index:251660288;mso-width-relative:page;mso-height-relative:page;" filled="f" stroked="t" coordsize="21600,21600" o:gfxdata="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Heu/pdQAAAAFAQAADwAAAAAAAAABACAAAAAiAAAAZHJzL2Rvd25yZXYueG1sUEsB&#10;AhQAFAAAAAgAh07iQFm9mEL5AQAA9QMAAA4AAAAAAAAAAQAgAAAAIwEAAGRycy9lMm9Eb2MueG1s&#10;UEsFBgAAAAAGAAYAWQEAAI4FAAAAAA==&#10;">
                <v:fill on="f" focussize="0,0"/>
                <v:stroke weight="1.25pt" color="#000000" joinstyle="round"/>
                <v:imagedata o:title=""/>
                <o:lock v:ext="edit" aspectratio="f"/>
              </v:line>
            </w:pict>
          </mc:Fallback>
        </mc:AlternateContent>
      </w:r>
      <w:r>
        <w:rPr>
          <w:rFonts w:ascii="Times New Roman" w:hAnsi="Times New Roman" w:eastAsia="仿宋_GB2312" w:cs="仿宋"/>
          <w:bCs/>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vv85HXAAAACgEAAA8AAAAAAAAAAQAgAAAAIgAAAGRycy9kb3ducmV2&#10;LnhtbFBLAQIUABQAAAAIAIdO4kDR4p2+/QEAAPMDAAAOAAAAAAAAAAEAIAAAACYBAABkcnMvZTJv&#10;RG9jLnhtbFBLBQYAAAAABgAGAFkBAACV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lang w:val="en-US" w:eastAsia="zh-CN"/>
        </w:rPr>
        <w:t>二</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lang w:val="en-US" w:eastAsia="zh-CN"/>
        </w:rPr>
        <w:t>一</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lang w:val="en-US" w:eastAsia="zh-CN"/>
        </w:rPr>
        <w:t>由办案机构留存</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D15E25"/>
    <w:rsid w:val="0091065E"/>
    <w:rsid w:val="00A60B94"/>
    <w:rsid w:val="00B40D21"/>
    <w:rsid w:val="00B77725"/>
    <w:rsid w:val="03DD6B0A"/>
    <w:rsid w:val="04222A5F"/>
    <w:rsid w:val="05C95C01"/>
    <w:rsid w:val="05F92DDC"/>
    <w:rsid w:val="08D069EB"/>
    <w:rsid w:val="09EB1B63"/>
    <w:rsid w:val="0A466568"/>
    <w:rsid w:val="0AC94872"/>
    <w:rsid w:val="0B006766"/>
    <w:rsid w:val="141B194C"/>
    <w:rsid w:val="209C2051"/>
    <w:rsid w:val="2148092D"/>
    <w:rsid w:val="21E37453"/>
    <w:rsid w:val="22457241"/>
    <w:rsid w:val="249E10C1"/>
    <w:rsid w:val="25E535EB"/>
    <w:rsid w:val="29C57696"/>
    <w:rsid w:val="2A8A4AA6"/>
    <w:rsid w:val="2B0F3F82"/>
    <w:rsid w:val="2D9A4369"/>
    <w:rsid w:val="32CF7DA6"/>
    <w:rsid w:val="34643731"/>
    <w:rsid w:val="35202463"/>
    <w:rsid w:val="3AD15E25"/>
    <w:rsid w:val="3B74479D"/>
    <w:rsid w:val="3BC94019"/>
    <w:rsid w:val="40D84BFE"/>
    <w:rsid w:val="416F6B49"/>
    <w:rsid w:val="481036F5"/>
    <w:rsid w:val="4A4C332E"/>
    <w:rsid w:val="4FE21E3E"/>
    <w:rsid w:val="5714026E"/>
    <w:rsid w:val="5A8F4E1E"/>
    <w:rsid w:val="5AD57930"/>
    <w:rsid w:val="5BA86AF7"/>
    <w:rsid w:val="5DDC214F"/>
    <w:rsid w:val="65B20DEA"/>
    <w:rsid w:val="6A210391"/>
    <w:rsid w:val="6F123EE3"/>
    <w:rsid w:val="72330BA2"/>
    <w:rsid w:val="72363AD7"/>
    <w:rsid w:val="74B45A34"/>
    <w:rsid w:val="76CF0D95"/>
    <w:rsid w:val="7B323902"/>
    <w:rsid w:val="7B7362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正文格式"/>
    <w:basedOn w:val="3"/>
    <w:qFormat/>
    <w:uiPriority w:val="0"/>
    <w:pPr>
      <w:widowControl/>
      <w:adjustRightInd w:val="0"/>
      <w:snapToGrid w:val="0"/>
      <w:spacing w:line="400" w:lineRule="atLeast"/>
      <w:ind w:firstLine="482"/>
      <w:textAlignment w:val="baseline"/>
    </w:pPr>
    <w:rPr>
      <w:rFonts w:ascii="Times New Roman" w:hAnsi="Times New Roman" w:eastAsia="宋体" w:cs="Times New Roman"/>
      <w:kern w:val="0"/>
      <w:sz w:val="24"/>
    </w:rPr>
  </w:style>
  <w:style w:type="paragraph" w:styleId="3">
    <w:name w:val="Body Text"/>
    <w:basedOn w:val="1"/>
    <w:next w:val="1"/>
    <w:qFormat/>
    <w:uiPriority w:val="1"/>
    <w:pPr>
      <w:autoSpaceDE w:val="0"/>
      <w:autoSpaceDN w:val="0"/>
      <w:adjustRightInd w:val="0"/>
      <w:jc w:val="left"/>
    </w:pPr>
    <w:rPr>
      <w:rFonts w:ascii="Arial Unicode MS" w:hAnsi="Times New Roman" w:eastAsia="Arial Unicode MS" w:cs="Arial Unicode MS"/>
      <w:kern w:val="0"/>
      <w:sz w:val="32"/>
      <w:szCs w:val="32"/>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420</Words>
  <Characters>2400</Characters>
  <Lines>20</Lines>
  <Paragraphs>5</Paragraphs>
  <TotalTime>9</TotalTime>
  <ScaleCrop>false</ScaleCrop>
  <LinksUpToDate>false</LinksUpToDate>
  <CharactersWithSpaces>2815</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2019-05-29T02:38:00Z</dcterms:created>
  <dc:creator>陪你去巴黎</dc:creator>
  <cp:lastModifiedBy>Administrator</cp:lastModifiedBy>
  <cp:lastPrinted>2022-09-07T08:47:00Z</cp:lastPrinted>
  <dcterms:modified xsi:type="dcterms:W3CDTF">2022-09-19T02:41:05Z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3FA501DF2B38434DAE1AF8E9619755C6</vt:lpwstr>
  </property>
</Properties>
</file>