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pacing w:val="-12"/>
          <w:sz w:val="44"/>
          <w:szCs w:val="44"/>
        </w:rPr>
      </w:pPr>
      <w:r>
        <w:rPr>
          <w:rFonts w:hint="eastAsia" w:ascii="方正小标宋简体" w:eastAsia="方正小标宋简体"/>
          <w:spacing w:val="-12"/>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pacing w:val="-12"/>
          <w:sz w:val="44"/>
          <w:szCs w:val="44"/>
        </w:rPr>
      </w:pP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1．呋喃唑酮代谢物不合格</w:t>
      </w:r>
    </w:p>
    <w:p>
      <w:pPr>
        <w:pStyle w:val="3"/>
        <w:spacing w:line="40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本次抽检中有1批次畜副产品（猪肝）检出呋喃唑酮代谢物，判定为不合格。</w:t>
      </w:r>
    </w:p>
    <w:p>
      <w:pPr>
        <w:pStyle w:val="3"/>
        <w:spacing w:line="400" w:lineRule="exact"/>
        <w:ind w:firstLine="640"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color w:val="000000"/>
          <w:sz w:val="32"/>
          <w:szCs w:val="32"/>
        </w:rPr>
        <w:t>呋喃类药物是一种广谱抗生素，曾被广泛应用于畜、禽及水产养殖业，自2002年被农业部列为禁用兽药（中华人民共和国农业部公告第235号《动物性食品中兽药最高残留限量》明令禁用）。现在我国中华人民共和国农业部公告第250号中规定，在食品动物中禁止使用呋喃类药物。该类药物在动物体内代谢快，但代谢产物在动物组织中存在时间较长，人长期食用呋喃类代谢物超标的动物性食品，会引起溶血性贫血、多发神经炎，对中枢神经系统造成不可逆的损伤，在人体可引起溶血性肝坏死等疾病，对孕妇和儿童的危害尤为严重。</w:t>
      </w: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2.五氯酚酸钠（以五氯酚计）不合格</w:t>
      </w:r>
    </w:p>
    <w:p>
      <w:pPr>
        <w:pStyle w:val="3"/>
        <w:spacing w:line="40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本次抽检中有1批次畜副产品（猪肝）检出五氯酚酸钠（以五氯酚计），判定为不合格。</w:t>
      </w:r>
    </w:p>
    <w:p>
      <w:pPr>
        <w:pStyle w:val="3"/>
        <w:spacing w:line="40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氯酚酸钠又名五氯酚钠，是我国停止登记的高毒高残留农药，由于较高的水溶性，导致容易通过水为载体广泛扩散，对水源和土壤造成污染，再进入饲料用植物中，通过食物链蓄积在动物体内，从而残留在动物性食品中。为进一步规范养殖用药行为，保障动物性食品安全，中华人民共和国农业农村部公告 第250号中规定，五氯酚酸钠为食品动物中禁止使用的药品（即动物性食品中不得检出）。</w:t>
      </w: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3．恩诺沙星与环丙沙星不合格</w:t>
      </w:r>
    </w:p>
    <w:p>
      <w:pPr>
        <w:pStyle w:val="3"/>
        <w:spacing w:line="40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本次抽检中有5批次淡水鱼和2批次贝类检出恩诺沙星、环丙沙星较高，判定为不合格。</w:t>
      </w:r>
    </w:p>
    <w:p>
      <w:pPr>
        <w:pStyle w:val="3"/>
        <w:spacing w:line="4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恩诺沙星、环丙沙星同属于氟诺酮类药物，是一类人工合成的广谱抗菌药，用于防治畜禽等疾病，是动物专属用药，其残留毒性、耐药性及其代谢产物在人体所引起的不良反应已引起广泛的关注。在GB 31650-2019《食品安全国家标准 食品中兽药最大残留限量》中规定恩诺沙星（以恩诺沙星和环丙沙星之和计）可用于牛、羊、猪、兔、禽及其他动物，在鱼和其它动物中，其残留限量为100 μg/kg，此次抽检有7批次样品（</w:t>
      </w:r>
      <w:r>
        <w:rPr>
          <w:rFonts w:hint="eastAsia" w:ascii="仿宋_GB2312" w:hAnsi="仿宋_GB2312" w:eastAsia="仿宋_GB2312" w:cs="仿宋_GB2312"/>
          <w:kern w:val="2"/>
          <w:sz w:val="32"/>
          <w:szCs w:val="32"/>
        </w:rPr>
        <w:t>淡水鱼和贝类</w:t>
      </w:r>
      <w:r>
        <w:rPr>
          <w:rFonts w:hint="eastAsia" w:ascii="仿宋_GB2312" w:hAnsi="仿宋_GB2312" w:eastAsia="仿宋_GB2312" w:cs="仿宋_GB2312"/>
          <w:sz w:val="32"/>
          <w:szCs w:val="32"/>
        </w:rPr>
        <w:t>）检出恩诺沙星（以恩诺沙星与环丙沙星之和计），检出值为270 μg/kg至630 μg/kg不等（以恩诺沙星和环丙沙星之和计），是GB 31650-2019《食品安全国家标准 食品中兽药最大残留限量》要求的2.7~6.3倍。恩诺沙星、环丙沙星药物残留通过食物链对人体会造成严重耐药性，从而影响该类药物对人类疾病的治疗效果，对人体健康危害也更大。</w:t>
      </w: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4．孔雀石绿不合格</w:t>
      </w:r>
    </w:p>
    <w:p>
      <w:pPr>
        <w:pStyle w:val="3"/>
        <w:spacing w:line="40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本次抽检中有4批次淡水鱼检出孔雀石绿（以孔雀石绿与隐色孔雀石绿之和计），判定为不合格。</w:t>
      </w:r>
    </w:p>
    <w:p>
      <w:pPr>
        <w:pStyle w:val="3"/>
        <w:spacing w:line="4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孔雀石绿为三苯甲烷类染料，因价格低廉，常用于鲜活水产类运输过程中，以延长水产品的存活时间。可以在鱼体内长时间残留，通过食物链进入人体后可转化为毒性物质，对人体产生致畸、致癌和致突变等危害。在中华人民共和国农业农村部公告 第250号中规定，附件-食品动物中禁止使用的药品及其他化合物清单含有孔雀石绿，所以孔雀石绿属于“禁止使用”。此次抽检中有4批次水产品（淡水鱼）检出孔雀石绿</w:t>
      </w:r>
      <w:r>
        <w:rPr>
          <w:rFonts w:hint="eastAsia" w:ascii="仿宋_GB2312" w:hAnsi="仿宋_GB2312" w:eastAsia="仿宋_GB2312" w:cs="仿宋_GB2312"/>
          <w:kern w:val="2"/>
          <w:sz w:val="32"/>
          <w:szCs w:val="32"/>
        </w:rPr>
        <w:t>（以孔雀石绿与隐色孔雀石绿之和计）</w:t>
      </w:r>
      <w:r>
        <w:rPr>
          <w:rFonts w:hint="eastAsia" w:ascii="仿宋_GB2312" w:hAnsi="仿宋_GB2312" w:eastAsia="仿宋_GB2312" w:cs="仿宋_GB2312"/>
          <w:sz w:val="32"/>
          <w:szCs w:val="32"/>
        </w:rPr>
        <w:t>，其检出值为2.2 μg/kg~8.6 μg/kg，检验结论为不合格。</w:t>
      </w: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5．磺胺类（总量）不合格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本次抽检中有1批次水产品（淡水鱼）检出磺胺类（总量）较高，判定为不合格。</w:t>
      </w:r>
    </w:p>
    <w:p>
      <w:pPr>
        <w:pStyle w:val="3"/>
        <w:spacing w:line="4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磺胺类药物是一种人工合成的抗菌谱较广、性质稳定、使用简便的抗菌药，对大多数革兰氏阳性菌和阴性菌都有较强的抑制作用，通常用于治疗敏感菌所致传染病，也会用于治疗痢疾等。在GB 31650-2019《食品安全国家标准 食品中兽药最大残留限量》中规定，所有食品动物（肌肉）残留限量为100 μg/kg，此次抽检样品中有1个批次水产品（淡水鱼）检出磺胺类（总量）918 μg/kg，远远超出国家标准要求。磺胺类（总量）超标可能是养殖环节用药管理不严或休药期不足导致。</w:t>
      </w: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6．毒死蜱不合格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本次抽检中有4批次蔬菜（菠菜）检出毒死蜱较高，判定为不合格。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毒死蜱是一种具有触杀、胃毒和熏蒸作用的有机磷杀虫剂，在土壤中残留期较长，因此毒死蜱必须控制使用剂量。GB 2763-2021《食品安全国家标准 食品中农药最大残留限量》中规定，叶菜类中毒死蜱的最大残留限量为0.02 mg/kg，此次抽检中有4批次菠菜检出毒死蜱，其检出数值为0.048~0.18 mg/kg，超出国标GB 2763-2021最大残留限量的要求。少量的农药残留不会引起人体急性中毒，但长期食用农药残留超标的食品，对人体健康有一定影响。</w:t>
      </w: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7．阿维菌素不合格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本次抽检中有1批次蔬菜（油麦菜）检出阿维菌素较高，判定为不合格。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阿维菌素为新高效抗生素类抗寄生虫药。GB 2763-2021《食品安全国家标准 食品中农药最大残留限量》中规定，在菠菜中阿维菌素的最大残留限量为0.05 mg/kg。此次抽检样品中有1批次蔬菜（油麦菜）检出阿维菌素，其检出值为0.18 mg/kg，GB 2763-2021要求的3倍多。长期食用阿维菌素超标的食品，可能会引起中毒症状为抽搐，痉挛、恶心、呕吐等。长期食用农药残留超标的食品，对人体会健康有一定影响。</w:t>
      </w: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8．克百威不合格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本次抽检中有2批次蔬菜（豇豆）检出克百威较高，判定为不合格。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克百威是一种广谱、高效、低残留、高毒性的氨基甲酸酯类杀虫、杀螨、杀线虫剂，具有内吸、触杀、胃毒作用，并有一定的杀卵作用。GB 2763-2021《食品安全国家标准 食品中农药最大残留限量》中规定，克百威在蔬菜（马铃薯除外）中的最大残留限量为0.02 mg/kg，此次抽检样品中有2批次蔬菜（豇豆）其克百威检出数值分别为0.16 mg/kg、0.60 mg/kg。是GB 2763-2021要求的8倍、30倍。少量的农药残留不会引起人体急性中毒，但长期食用农药残留超标的食品，对人体健康有一定影响。</w:t>
      </w: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9．甲基异柳磷不合格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本次抽检中有1批次蔬菜（葱）检出甲基异柳磷较高，判定为不合格。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甲基异硫磷是一种高效、广谱、有机磷土壤杀虫剂，对害虫具有较强的触杀和胃杀作用。虽然甲基异硫磷是防治地下害虫的高效药剂，但因其高毒、高残留，依据农业农村部公告 第536号，自2022年9月1日起将对甲基异硫磷等高毒农药，采取逐步淘汰措施。GB 2763-2021《食品安全国家标准 食品中农药最大残留限量》中规定，鳞茎类蔬菜中最大残留限量为0.01 mg/kg，此次抽检样品中有1批次蔬菜（葱）检出数值为0.15 mg/kg，是GB 2763-2021要求的15倍。少量的农药残留不会引起人体急性中毒，但长期食用农药残留超标的食品，对人体健康有一定影响。</w:t>
      </w:r>
    </w:p>
    <w:p>
      <w:pPr>
        <w:pStyle w:val="3"/>
        <w:ind w:firstLine="643" w:firstLineChars="200"/>
        <w:jc w:val="both"/>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10．腐霉利不合格</w:t>
      </w:r>
    </w:p>
    <w:p>
      <w:pPr>
        <w:pStyle w:val="6"/>
        <w:tabs>
          <w:tab w:val="left" w:pos="7655"/>
        </w:tabs>
        <w:snapToGrid w:val="0"/>
        <w:spacing w:line="4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本次抽检中有1批次蔬菜（韭菜）检出腐霉利较高，判定为不合格。</w:t>
      </w:r>
    </w:p>
    <w:p>
      <w:pPr>
        <w:pStyle w:val="6"/>
        <w:tabs>
          <w:tab w:val="left" w:pos="7655"/>
        </w:tabs>
        <w:snapToGrid w:val="0"/>
        <w:spacing w:line="400" w:lineRule="exact"/>
        <w:ind w:right="-1"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腐霉利是新型杀菌剂，属于低毒杀菌剂。适用于果树、蔬菜、花卉等的菌核病、灰霉病、黑星病、褐腐病等病的防治。GB 2763-2021《食品安全国家标准 食品中农药最大残留限量》规定，蔬菜（韭菜）最大残留限量为0.2 mg/kg，此批抽检中有1批次蔬菜（韭菜）检出腐霉利较高，其检出值为0.59 mg/kg，是GB 2763-2021要求的3倍。韭菜灰霉病发生严重，防治韭菜灰霉病备选药剂少，且腐霉利成本低，农户没有备选的其它药剂交替用药，长期单一用药，导致农户施药次数增加。再有腐霉利安全间隔长，韭菜采收期短，也是导致腐霉利残留超标的原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lang w:val="en-US" w:eastAsia="zh-CN"/>
        </w:rPr>
        <w:t>菌落总数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菌落总数是指示性微生物指标，不是致病菌指标，反映食品在生产过程中的卫生状况。食品中菌落总数超标的原因，可能是企业未按照要求严格控制生产加工过程的卫生条件，也可能与产品包装密封不严或储运条件不当等有关。</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如果食品的菌落总数严重超标，将会破坏食品的营养成分，使食品失去食用价值；还会加速食品腐败变质，可能危害人体健康。</w:t>
      </w:r>
    </w:p>
    <w:p>
      <w:pPr>
        <w:pStyle w:val="2"/>
        <w:rPr>
          <w:rFonts w:hint="eastAsia" w:ascii="仿宋_GB2312" w:hAnsi="仿宋_GB2312" w:eastAsia="仿宋_GB2312" w:cs="仿宋_GB2312"/>
          <w:b/>
          <w:bCs/>
          <w:i w:val="0"/>
          <w:iCs w:val="0"/>
          <w:color w:val="auto"/>
          <w:kern w:val="2"/>
          <w:sz w:val="32"/>
          <w:szCs w:val="32"/>
          <w:lang w:val="en-US" w:eastAsia="zh-CN" w:bidi="ar-SA"/>
        </w:rPr>
      </w:pPr>
      <w:r>
        <w:rPr>
          <w:rFonts w:hint="eastAsia" w:ascii="仿宋_GB2312" w:hAnsi="仿宋_GB2312" w:eastAsia="仿宋_GB2312" w:cs="仿宋_GB2312"/>
          <w:b/>
          <w:bCs/>
          <w:i w:val="0"/>
          <w:iCs w:val="0"/>
          <w:color w:val="auto"/>
          <w:kern w:val="2"/>
          <w:sz w:val="32"/>
          <w:szCs w:val="32"/>
          <w:lang w:val="en-US" w:eastAsia="zh-CN" w:bidi="ar-SA"/>
        </w:rPr>
        <w:t>12.大肠杆菌</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大肠杆菌是国内外通用的食品污染常用指示菌之一。食品中检出大肠菌群，提示被致病菌(如沙门氏菌、志贺氏菌、致病性大肠杆菌)污染的可能性较大。大肠菌群数超标的原因：①产品的加工原料、包装材料受污染；②产品在生产过程中受人员、工器具等的污染；③灭菌工艺灭菌不彻底导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如果食品中的大肠菌群严重超标，将会破坏食品的营养成分，使食品失去食用价值；还会加速食品腐败变质，可能危害人体健康。</w:t>
      </w:r>
    </w:p>
    <w:p>
      <w:pPr>
        <w:numPr>
          <w:ilvl w:val="0"/>
          <w:numId w:val="1"/>
        </w:numPr>
        <w:topLinePunct/>
        <w:autoSpaceDE w:val="0"/>
        <w:autoSpaceDN w:val="0"/>
        <w:spacing w:line="480" w:lineRule="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糖精钠(以糖精计)</w:t>
      </w:r>
    </w:p>
    <w:p>
      <w:pPr>
        <w:spacing w:line="360" w:lineRule="auto"/>
        <w:ind w:firstLine="640" w:firstLineChars="200"/>
        <w:outlineLvl w:val="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糖精钠是普遍使用的人工合成甜味剂，在人体内不被吸收，不产生热量，大部分经肾排出而不损害肾功能。</w:t>
      </w:r>
    </w:p>
    <w:p>
      <w:pPr>
        <w:spacing w:line="360" w:lineRule="auto"/>
        <w:ind w:firstLine="640" w:firstLineChars="200"/>
        <w:outlineLvl w:val="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糖精钠(以糖精计)检测值超标的原因：①生产过程中计量不准导致终产品糖精钠(以糖精计)超标；②生产企业为增加甜度而过量添加。</w:t>
      </w:r>
    </w:p>
    <w:p>
      <w:pPr>
        <w:numPr>
          <w:ilvl w:val="0"/>
          <w:numId w:val="1"/>
        </w:numPr>
        <w:topLinePunct/>
        <w:autoSpaceDE w:val="0"/>
        <w:autoSpaceDN w:val="0"/>
        <w:spacing w:line="480" w:lineRule="auto"/>
        <w:ind w:left="0" w:leftChars="0" w:firstLine="0" w:firstLineChars="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氨基酸态氮(以氮计)</w:t>
      </w:r>
    </w:p>
    <w:p>
      <w:pPr>
        <w:spacing w:line="360" w:lineRule="auto"/>
        <w:ind w:firstLine="640" w:firstLineChars="200"/>
        <w:outlineLvl w:val="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氨基酸态氮是酱油的特征性品质指标之一，氨基酸态氮含量越高，酱油鲜味越浓，酱油的质量越好。氨基酸态氮含量不达标的原因：①原料采购环节质量把关不严；②企业生产工业控制不严，如酿造周期未达标；③企业在生产过程中为降低成本而以次充好。</w:t>
      </w:r>
    </w:p>
    <w:p>
      <w:pPr>
        <w:pStyle w:val="2"/>
        <w:numPr>
          <w:ilvl w:val="0"/>
          <w:numId w:val="1"/>
        </w:numPr>
        <w:ind w:left="0" w:leftChars="0" w:firstLine="0" w:firstLineChars="0"/>
        <w:rPr>
          <w:rFonts w:hint="eastAsia" w:ascii="仿宋_GB2312" w:hAnsi="仿宋_GB2312" w:eastAsia="仿宋_GB2312" w:cs="仿宋_GB2312"/>
          <w:b/>
          <w:bCs/>
          <w:i w:val="0"/>
          <w:iCs w:val="0"/>
          <w:color w:val="auto"/>
          <w:kern w:val="2"/>
          <w:sz w:val="32"/>
          <w:szCs w:val="32"/>
          <w:lang w:val="en-US" w:eastAsia="zh-CN" w:bidi="ar-SA"/>
        </w:rPr>
      </w:pPr>
      <w:bookmarkStart w:id="0" w:name="_GoBack"/>
      <w:r>
        <w:rPr>
          <w:rFonts w:hint="eastAsia" w:ascii="仿宋_GB2312" w:hAnsi="仿宋_GB2312" w:eastAsia="仿宋_GB2312" w:cs="仿宋_GB2312"/>
          <w:b/>
          <w:bCs/>
          <w:i w:val="0"/>
          <w:iCs w:val="0"/>
          <w:color w:val="auto"/>
          <w:kern w:val="2"/>
          <w:sz w:val="32"/>
          <w:szCs w:val="32"/>
          <w:lang w:val="en-US" w:eastAsia="zh-CN" w:bidi="ar-SA"/>
        </w:rPr>
        <w:t>溶剂残留量</w:t>
      </w:r>
    </w:p>
    <w:bookmarkEnd w:id="0"/>
    <w:p>
      <w:pPr>
        <w:pStyle w:val="2"/>
        <w:numPr>
          <w:ilvl w:val="0"/>
          <w:numId w:val="0"/>
        </w:numPr>
        <w:ind w:firstLine="640" w:firstLineChars="200"/>
        <w:rPr>
          <w:rFonts w:hint="eastAsia" w:ascii="仿宋_GB2312" w:hAnsi="仿宋_GB2312" w:eastAsia="仿宋_GB2312" w:cs="仿宋_GB2312"/>
          <w:b w:val="0"/>
          <w:bCs/>
          <w:i w:val="0"/>
          <w:iCs w:val="0"/>
          <w:color w:val="auto"/>
          <w:kern w:val="2"/>
          <w:sz w:val="32"/>
          <w:szCs w:val="32"/>
          <w:lang w:val="en-US" w:eastAsia="zh-CN" w:bidi="ar-SA"/>
        </w:rPr>
      </w:pPr>
      <w:r>
        <w:rPr>
          <w:rFonts w:hint="eastAsia" w:ascii="仿宋_GB2312" w:hAnsi="仿宋_GB2312" w:eastAsia="仿宋_GB2312" w:cs="仿宋_GB2312"/>
          <w:b w:val="0"/>
          <w:bCs/>
          <w:i w:val="0"/>
          <w:iCs w:val="0"/>
          <w:color w:val="auto"/>
          <w:kern w:val="2"/>
          <w:sz w:val="32"/>
          <w:szCs w:val="32"/>
          <w:lang w:val="en-US" w:eastAsia="zh-CN" w:bidi="ar-SA"/>
        </w:rPr>
        <w:t>溶剂残留量是指食用油在生产过程中采用添加有机溶剂将食用油萃取出来，然后通过过滤、高温蒸发等工艺将有机溶剂去除。</w:t>
      </w:r>
    </w:p>
    <w:p>
      <w:pPr>
        <w:pStyle w:val="2"/>
        <w:numPr>
          <w:ilvl w:val="0"/>
          <w:numId w:val="0"/>
        </w:numPr>
        <w:ind w:firstLine="640" w:firstLineChars="200"/>
        <w:rPr>
          <w:rFonts w:hint="eastAsia" w:ascii="仿宋_GB2312" w:hAnsi="仿宋_GB2312" w:eastAsia="仿宋_GB2312" w:cs="仿宋_GB2312"/>
          <w:b w:val="0"/>
          <w:bCs/>
          <w:i w:val="0"/>
          <w:iCs w:val="0"/>
          <w:color w:val="auto"/>
          <w:kern w:val="2"/>
          <w:sz w:val="32"/>
          <w:szCs w:val="32"/>
          <w:lang w:val="en-US" w:eastAsia="zh-CN" w:bidi="ar-SA"/>
        </w:rPr>
      </w:pPr>
      <w:r>
        <w:rPr>
          <w:rFonts w:hint="eastAsia" w:ascii="仿宋_GB2312" w:hAnsi="仿宋_GB2312" w:eastAsia="仿宋_GB2312" w:cs="仿宋_GB2312"/>
          <w:b w:val="0"/>
          <w:bCs/>
          <w:i w:val="0"/>
          <w:iCs w:val="0"/>
          <w:color w:val="auto"/>
          <w:kern w:val="2"/>
          <w:sz w:val="32"/>
          <w:szCs w:val="32"/>
          <w:lang w:val="en-US" w:eastAsia="zh-CN" w:bidi="ar-SA"/>
        </w:rPr>
        <w:t>溶剂残留量不合格原因：①生产企业为严格按照工艺流程进行萃取和提纯。②用来萃取的有机溶剂不符合标准。</w:t>
      </w:r>
    </w:p>
    <w:p>
      <w:pPr>
        <w:pStyle w:val="2"/>
        <w:numPr>
          <w:ilvl w:val="0"/>
          <w:numId w:val="0"/>
        </w:numPr>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757C89"/>
    <w:multiLevelType w:val="singleLevel"/>
    <w:tmpl w:val="72757C89"/>
    <w:lvl w:ilvl="0" w:tentative="0">
      <w:start w:val="1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A34853"/>
    <w:rsid w:val="0028364C"/>
    <w:rsid w:val="00507D06"/>
    <w:rsid w:val="00C803A1"/>
    <w:rsid w:val="010F1969"/>
    <w:rsid w:val="099711A5"/>
    <w:rsid w:val="1CDC2EB7"/>
    <w:rsid w:val="302656B2"/>
    <w:rsid w:val="3075202D"/>
    <w:rsid w:val="30CE596C"/>
    <w:rsid w:val="3E8324FC"/>
    <w:rsid w:val="41F408BC"/>
    <w:rsid w:val="45AE33A6"/>
    <w:rsid w:val="56A34853"/>
    <w:rsid w:val="6B8B2BDA"/>
    <w:rsid w:val="6D5806F1"/>
    <w:rsid w:val="6E9A1238"/>
    <w:rsid w:val="75F97D40"/>
    <w:rsid w:val="7B975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rPr>
      <w:rFonts w:ascii="Calibri" w:hAnsi="Calibri" w:cs="Calibri"/>
      <w:b/>
      <w:i/>
      <w:iCs/>
      <w:color w:val="000000"/>
      <w:sz w:val="18"/>
      <w:szCs w:val="22"/>
    </w:rPr>
  </w:style>
  <w:style w:type="paragraph" w:styleId="3">
    <w:name w:val="Normal (Web)"/>
    <w:basedOn w:val="1"/>
    <w:uiPriority w:val="0"/>
    <w:pPr>
      <w:widowControl/>
      <w:jc w:val="left"/>
    </w:pPr>
    <w:rPr>
      <w:rFonts w:ascii="宋体" w:hAnsi="宋体" w:eastAsia="仿宋_GB2312" w:cs="宋体"/>
      <w:kern w:val="0"/>
      <w:sz w:val="24"/>
    </w:rPr>
  </w:style>
  <w:style w:type="paragraph" w:customStyle="1" w:styleId="6">
    <w:name w:val="正文 New New New New New New New New New New New New New New New New New New New New New New New New New New"/>
    <w:qFormat/>
    <w:uiPriority w:val="0"/>
    <w:pPr>
      <w:widowControl w:val="0"/>
      <w:jc w:val="both"/>
    </w:pPr>
    <w:rPr>
      <w:rFonts w:hint="eastAsia"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112</Words>
  <Characters>641</Characters>
  <Lines>5</Lines>
  <Paragraphs>1</Paragraphs>
  <TotalTime>2</TotalTime>
  <ScaleCrop>false</ScaleCrop>
  <LinksUpToDate>false</LinksUpToDate>
  <CharactersWithSpaces>752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2017-04-07T00:43:00Z</dcterms:created>
  <dc:creator>gdfda</dc:creator>
  <cp:lastModifiedBy>叶轩宇</cp:lastModifiedBy>
  <dcterms:modified xsi:type="dcterms:W3CDTF">2022-08-24T01:24:13Z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7B80A418F2A7404C84D181302EA5913D</vt:lpwstr>
  </property>
</Properties>
</file>