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sz w:val="32"/>
          <w:szCs w:val="32"/>
          <w:lang w:eastAsia="zh-CN"/>
        </w:rPr>
      </w:pPr>
      <w:r>
        <w:rPr>
          <w:rFonts w:hint="eastAsia" w:ascii="黑体" w:hAnsi="黑体" w:eastAsia="黑体"/>
          <w:sz w:val="32"/>
          <w:szCs w:val="32"/>
        </w:rPr>
        <w:t>附件</w:t>
      </w:r>
      <w:r>
        <w:rPr>
          <w:rFonts w:hint="eastAsia" w:ascii="黑体" w:hAnsi="黑体" w:eastAsia="黑体"/>
          <w:sz w:val="32"/>
          <w:szCs w:val="32"/>
          <w:lang w:val="en-US" w:eastAsia="zh-CN"/>
        </w:rPr>
        <w:t>4</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方正小标宋简体" w:hAnsi="Calibri" w:eastAsia="方正小标宋简体"/>
          <w:spacing w:val="-12"/>
          <w:sz w:val="44"/>
          <w:szCs w:val="44"/>
        </w:rPr>
      </w:pPr>
      <w:r>
        <w:rPr>
          <w:rFonts w:hint="eastAsia" w:ascii="方正小标宋简体" w:eastAsia="方正小标宋简体"/>
          <w:spacing w:val="-12"/>
          <w:sz w:val="44"/>
          <w:szCs w:val="44"/>
        </w:rPr>
        <w:t>关于部分检验项目的说明</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方正小标宋简体" w:eastAsia="方正小标宋简体"/>
          <w:spacing w:val="-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黑体" w:eastAsia="仿宋_GB2312" w:cs="Times New Roman"/>
          <w:b/>
          <w:bCs/>
          <w:sz w:val="32"/>
          <w:lang w:eastAsia="zh-CN"/>
        </w:rPr>
      </w:pPr>
      <w:bookmarkStart w:id="0" w:name="_Toc8156"/>
      <w:r>
        <w:rPr>
          <w:rFonts w:hint="eastAsia" w:ascii="仿宋_GB2312" w:hAnsi="黑体" w:eastAsia="仿宋_GB2312" w:cs="Times New Roman"/>
          <w:b/>
          <w:bCs/>
          <w:sz w:val="32"/>
          <w:lang w:val="en-US" w:eastAsia="zh-CN"/>
        </w:rPr>
        <w:t>一、</w:t>
      </w:r>
      <w:bookmarkEnd w:id="0"/>
      <w:bookmarkStart w:id="8" w:name="_GoBack"/>
      <w:bookmarkEnd w:id="8"/>
      <w:bookmarkStart w:id="1" w:name="_Toc21140"/>
      <w:r>
        <w:rPr>
          <w:rFonts w:hint="eastAsia" w:ascii="仿宋_GB2312" w:hAnsi="黑体" w:eastAsia="仿宋_GB2312" w:cs="Times New Roman"/>
          <w:b/>
          <w:bCs/>
          <w:sz w:val="32"/>
          <w:lang w:val="en-US" w:eastAsia="zh-CN"/>
        </w:rPr>
        <w:t>吡虫啉</w:t>
      </w:r>
      <w:bookmarkEnd w:id="1"/>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黑体" w:eastAsia="仿宋_GB2312" w:cs="Times New Roman"/>
          <w:sz w:val="32"/>
        </w:rPr>
      </w:pPr>
      <w:r>
        <w:rPr>
          <w:rFonts w:hint="eastAsia" w:ascii="仿宋_GB2312" w:hAnsi="黑体" w:eastAsia="仿宋_GB2312" w:cs="Times New Roman"/>
          <w:sz w:val="32"/>
        </w:rPr>
        <w:t>吡虫啉是烟碱类超高效杀虫剂，具有广谱、高效、低毒、低残留，害虫不易产生抗性，对人、畜、植物和天敌安全等特点，并有触杀、胃毒和内吸等多重作用。害虫接触药剂后，中枢神经正常传导受阻，使其麻痹死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黑体" w:eastAsia="仿宋_GB2312" w:cs="Times New Roman"/>
          <w:sz w:val="32"/>
          <w:lang w:eastAsia="zh-CN"/>
        </w:rPr>
      </w:pPr>
      <w:r>
        <w:rPr>
          <w:rFonts w:hint="eastAsia" w:ascii="仿宋_GB2312" w:hAnsi="黑体" w:eastAsia="仿宋_GB2312" w:cs="Times New Roman"/>
          <w:sz w:val="32"/>
        </w:rPr>
        <w:t>《食品安全国家标准 食品中农药最大残留限量》</w:t>
      </w:r>
      <w:r>
        <w:rPr>
          <w:rFonts w:hint="eastAsia" w:ascii="仿宋_GB2312" w:hAnsi="黑体" w:eastAsia="仿宋_GB2312" w:cs="Times New Roman"/>
          <w:sz w:val="32"/>
          <w:lang w:eastAsia="zh-CN"/>
        </w:rPr>
        <w:t>（GB 2763-2019）</w:t>
      </w:r>
      <w:r>
        <w:rPr>
          <w:rFonts w:hint="eastAsia" w:ascii="仿宋_GB2312" w:hAnsi="黑体" w:eastAsia="仿宋_GB2312" w:cs="Times New Roman"/>
          <w:sz w:val="32"/>
          <w:lang w:val="en-US" w:eastAsia="zh-CN"/>
        </w:rPr>
        <w:t>中</w:t>
      </w:r>
      <w:r>
        <w:rPr>
          <w:rFonts w:hint="eastAsia" w:ascii="仿宋_GB2312" w:hAnsi="黑体" w:eastAsia="仿宋_GB2312" w:cs="Times New Roman"/>
          <w:sz w:val="32"/>
        </w:rPr>
        <w:t>规定，</w:t>
      </w:r>
      <w:r>
        <w:rPr>
          <w:rFonts w:hint="eastAsia" w:ascii="仿宋_GB2312" w:hAnsi="黑体" w:eastAsia="仿宋_GB2312" w:cs="Times New Roman"/>
          <w:sz w:val="32"/>
          <w:lang w:val="en-US" w:eastAsia="zh-CN"/>
        </w:rPr>
        <w:t>香蕉</w:t>
      </w:r>
      <w:r>
        <w:rPr>
          <w:rFonts w:hint="eastAsia" w:ascii="仿宋_GB2312" w:hAnsi="黑体" w:eastAsia="仿宋_GB2312" w:cs="Times New Roman"/>
          <w:sz w:val="32"/>
        </w:rPr>
        <w:t>中</w:t>
      </w:r>
      <w:r>
        <w:rPr>
          <w:rFonts w:hint="eastAsia" w:ascii="仿宋_GB2312" w:hAnsi="黑体" w:eastAsia="仿宋_GB2312" w:cs="Times New Roman"/>
          <w:sz w:val="32"/>
          <w:lang w:val="en-US" w:eastAsia="zh-CN"/>
        </w:rPr>
        <w:t>吡虫啉</w:t>
      </w:r>
      <w:r>
        <w:rPr>
          <w:rFonts w:hint="eastAsia" w:ascii="仿宋_GB2312" w:hAnsi="黑体" w:eastAsia="仿宋_GB2312" w:cs="Times New Roman"/>
          <w:sz w:val="32"/>
        </w:rPr>
        <w:t>的限量要求为0.05mg/kg</w:t>
      </w:r>
      <w:r>
        <w:rPr>
          <w:rFonts w:hint="eastAsia" w:ascii="仿宋_GB2312" w:hAnsi="黑体" w:eastAsia="仿宋_GB2312" w:cs="Times New Roman"/>
          <w:sz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黑体" w:eastAsia="仿宋_GB2312" w:cs="Times New Roman"/>
          <w:sz w:val="32"/>
        </w:rPr>
      </w:pPr>
      <w:r>
        <w:rPr>
          <w:rFonts w:hint="eastAsia" w:ascii="仿宋_GB2312" w:hAnsi="黑体" w:eastAsia="仿宋_GB2312" w:cs="Times New Roman"/>
          <w:sz w:val="32"/>
          <w:lang w:val="en-US" w:eastAsia="zh-CN"/>
        </w:rPr>
        <w:t>吡虫啉</w:t>
      </w:r>
      <w:r>
        <w:rPr>
          <w:rFonts w:hint="eastAsia" w:ascii="仿宋_GB2312" w:hAnsi="黑体" w:eastAsia="仿宋_GB2312" w:cs="Times New Roman"/>
          <w:sz w:val="32"/>
        </w:rPr>
        <w:t>中农药残留超标的原因可能是一些种植户为了“卖相”好，用药时可能没有按规定的剂量使用，也没有按规定的安全间隔期进行采摘，从而导致农药残留超标。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黑体" w:eastAsia="仿宋_GB2312" w:cs="Times New Roman"/>
          <w:sz w:val="32"/>
        </w:rPr>
      </w:pPr>
      <w:r>
        <w:rPr>
          <w:rFonts w:hint="eastAsia" w:ascii="仿宋_GB2312" w:hAnsi="黑体" w:eastAsia="仿宋_GB2312" w:cs="Times New Roman"/>
          <w:sz w:val="32"/>
        </w:rPr>
        <w:t>尽管防虫害的措施一直在改良，但是，受种植成本、种植规模等因素的影响，部分种植户仍然采用农药杀虫的方式。这也</w:t>
      </w:r>
      <w:r>
        <w:rPr>
          <w:rFonts w:hint="eastAsia" w:ascii="仿宋_GB2312" w:hAnsi="黑体" w:eastAsia="仿宋_GB2312" w:cs="Times New Roman"/>
          <w:sz w:val="32"/>
          <w:lang w:val="en-US" w:eastAsia="zh-CN"/>
        </w:rPr>
        <w:t>是香蕉</w:t>
      </w:r>
      <w:r>
        <w:rPr>
          <w:rFonts w:hint="eastAsia" w:ascii="仿宋_GB2312" w:hAnsi="黑体" w:eastAsia="仿宋_GB2312" w:cs="Times New Roman"/>
          <w:sz w:val="32"/>
        </w:rPr>
        <w:t>抽检出农药残留超标的重要原因。</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黑体" w:eastAsia="仿宋_GB2312" w:cs="Times New Roman"/>
          <w:b/>
          <w:bCs/>
          <w:i w:val="0"/>
          <w:iCs w:val="0"/>
          <w:sz w:val="32"/>
          <w:lang w:eastAsia="zh-CN"/>
        </w:rPr>
      </w:pPr>
      <w:bookmarkStart w:id="2" w:name="_Toc356"/>
      <w:r>
        <w:rPr>
          <w:rFonts w:hint="eastAsia" w:ascii="仿宋_GB2312" w:hAnsi="黑体" w:eastAsia="仿宋_GB2312" w:cs="Times New Roman"/>
          <w:b/>
          <w:bCs/>
          <w:i w:val="0"/>
          <w:iCs w:val="0"/>
          <w:sz w:val="32"/>
          <w:lang w:val="en-US" w:eastAsia="zh-CN"/>
        </w:rPr>
        <w:t>二、水胺硫磷</w:t>
      </w:r>
      <w:bookmarkEnd w:id="2"/>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黑体" w:eastAsia="仿宋_GB2312" w:cs="Times New Roman"/>
          <w:sz w:val="32"/>
        </w:rPr>
      </w:pPr>
      <w:r>
        <w:rPr>
          <w:rFonts w:hint="eastAsia" w:ascii="仿宋_GB2312" w:hAnsi="黑体" w:eastAsia="仿宋_GB2312" w:cs="Times New Roman"/>
          <w:sz w:val="32"/>
        </w:rPr>
        <w:t>水胺硫磷是一种高毒、速效、广谱杀虫杀螨剂，对蛛形纲中的螨类、昆虫纲中的鳞翅目、同翅目昆虫具有很好的防治作用。水胺硫磷能通过食道、皮肤和呼吸道引起中毒。对皮肤有一定刺激作用。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黑体" w:eastAsia="仿宋_GB2312" w:cs="Times New Roman"/>
          <w:sz w:val="32"/>
        </w:rPr>
      </w:pPr>
      <w:r>
        <w:rPr>
          <w:rFonts w:hint="eastAsia" w:ascii="仿宋_GB2312" w:hAnsi="黑体" w:eastAsia="仿宋_GB2312" w:cs="Times New Roman"/>
          <w:sz w:val="32"/>
        </w:rPr>
        <w:t>《食品安全国家标准 食品中农药最大残留限量》</w:t>
      </w:r>
      <w:r>
        <w:rPr>
          <w:rFonts w:hint="eastAsia" w:ascii="仿宋_GB2312" w:hAnsi="黑体" w:eastAsia="仿宋_GB2312" w:cs="Times New Roman"/>
          <w:sz w:val="32"/>
          <w:lang w:eastAsia="zh-CN"/>
        </w:rPr>
        <w:t>（GB 2763-2019）</w:t>
      </w:r>
      <w:r>
        <w:rPr>
          <w:rFonts w:hint="eastAsia" w:ascii="仿宋_GB2312" w:hAnsi="黑体" w:eastAsia="仿宋_GB2312" w:cs="Times New Roman"/>
          <w:sz w:val="32"/>
          <w:lang w:val="en-US" w:eastAsia="zh-CN"/>
        </w:rPr>
        <w:t>中</w:t>
      </w:r>
      <w:r>
        <w:rPr>
          <w:rFonts w:hint="eastAsia" w:ascii="仿宋_GB2312" w:hAnsi="黑体" w:eastAsia="仿宋_GB2312" w:cs="Times New Roman"/>
          <w:sz w:val="32"/>
        </w:rPr>
        <w:t>规定，</w:t>
      </w:r>
      <w:r>
        <w:rPr>
          <w:rFonts w:hint="eastAsia" w:ascii="仿宋_GB2312" w:hAnsi="黑体" w:eastAsia="仿宋_GB2312" w:cs="Times New Roman"/>
          <w:sz w:val="32"/>
          <w:lang w:val="en-US" w:eastAsia="zh-CN"/>
        </w:rPr>
        <w:t>豇豆</w:t>
      </w:r>
      <w:r>
        <w:rPr>
          <w:rFonts w:hint="eastAsia" w:ascii="仿宋_GB2312" w:hAnsi="黑体" w:eastAsia="仿宋_GB2312" w:cs="Times New Roman"/>
          <w:sz w:val="32"/>
        </w:rPr>
        <w:t>中</w:t>
      </w:r>
      <w:r>
        <w:rPr>
          <w:rFonts w:hint="eastAsia" w:ascii="仿宋_GB2312" w:hAnsi="黑体" w:eastAsia="仿宋_GB2312" w:cs="Times New Roman"/>
          <w:sz w:val="32"/>
          <w:lang w:val="en-US" w:eastAsia="zh-CN"/>
        </w:rPr>
        <w:t>水胺硫磷</w:t>
      </w:r>
      <w:r>
        <w:rPr>
          <w:rFonts w:hint="eastAsia" w:ascii="仿宋_GB2312" w:hAnsi="黑体" w:eastAsia="仿宋_GB2312" w:cs="Times New Roman"/>
          <w:sz w:val="32"/>
        </w:rPr>
        <w:t>的限量要求为0.05mg/kg</w:t>
      </w:r>
      <w:r>
        <w:rPr>
          <w:rFonts w:hint="eastAsia" w:ascii="仿宋_GB2312" w:hAnsi="黑体" w:eastAsia="仿宋_GB2312" w:cs="Times New Roman"/>
          <w:sz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黑体" w:eastAsia="仿宋_GB2312" w:cs="Times New Roman"/>
          <w:sz w:val="32"/>
        </w:rPr>
      </w:pPr>
      <w:r>
        <w:rPr>
          <w:rFonts w:hint="eastAsia" w:ascii="仿宋_GB2312" w:hAnsi="黑体" w:eastAsia="仿宋_GB2312" w:cs="Times New Roman"/>
          <w:sz w:val="32"/>
        </w:rPr>
        <w:t>造成农产品中农药残留的主要原因有（1）种植户主要集中在农村，缺乏食品安全意识，对农药残留超标可能造成的危害认识不足，对相关标准法律法规了解不够。（2）种植户受传统观念的影响，认为高毒农药防虫效果好，能够增加产量私自使用违禁农药。（3）不合理使用农药，部分种植户不按照农药说明来使用，也不考虑农药的用药间隔期，或把使用在花卉方面的药剂应用在蔬菜中，容易导致蔬菜、水果农药残留超标。（4）环境中农药残留时间长，通过土壤、水源等污染富集在农产品中而导致农残超标。</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黑体" w:eastAsia="仿宋_GB2312" w:cs="Times New Roman"/>
          <w:b/>
          <w:bCs/>
          <w:i w:val="0"/>
          <w:iCs w:val="0"/>
          <w:sz w:val="32"/>
          <w:lang w:eastAsia="zh-CN"/>
        </w:rPr>
      </w:pPr>
      <w:bookmarkStart w:id="3" w:name="_Toc2042"/>
      <w:r>
        <w:rPr>
          <w:rFonts w:hint="eastAsia" w:ascii="仿宋_GB2312" w:hAnsi="黑体" w:eastAsia="仿宋_GB2312" w:cs="Times New Roman"/>
          <w:b/>
          <w:bCs/>
          <w:i w:val="0"/>
          <w:iCs w:val="0"/>
          <w:sz w:val="32"/>
          <w:lang w:val="en-US" w:eastAsia="zh-CN"/>
        </w:rPr>
        <w:t>三、</w:t>
      </w:r>
      <w:bookmarkEnd w:id="3"/>
      <w:bookmarkStart w:id="4" w:name="_Toc17243"/>
      <w:r>
        <w:rPr>
          <w:rFonts w:hint="eastAsia" w:ascii="仿宋_GB2312" w:hAnsi="黑体" w:eastAsia="仿宋_GB2312" w:cs="Times New Roman"/>
          <w:b/>
          <w:bCs/>
          <w:i w:val="0"/>
          <w:iCs w:val="0"/>
          <w:sz w:val="32"/>
          <w:lang w:val="en-US" w:eastAsia="zh-CN"/>
        </w:rPr>
        <w:t>恩诺沙星与环丙沙星之和</w:t>
      </w:r>
      <w:bookmarkEnd w:id="4"/>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黑体" w:eastAsia="仿宋_GB2312" w:cs="Times New Roman"/>
          <w:sz w:val="32"/>
        </w:rPr>
      </w:pPr>
      <w:r>
        <w:rPr>
          <w:rFonts w:hint="eastAsia" w:ascii="仿宋_GB2312" w:hAnsi="黑体" w:eastAsia="仿宋_GB2312" w:cs="Times New Roman"/>
          <w:sz w:val="32"/>
        </w:rPr>
        <w:t>恩诺沙星是一种人工合成喹诺酮类广谱抗菌药物，在动物体内的代谢主要是脱去乙基而成为环丙沙星。恩诺沙星在预防和治疗畜禽的细菌性感染及支原体病方面有良好效果，广泛应用于畜牧、水产等养殖业中。长期摄入恩诺沙星药物超标的动物性食品，可引起轻度胃肠道刺激或不适，如头痛、头晕、睡眠不良等症状，大剂量或长期摄入还可能引起肝损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黑体" w:eastAsia="仿宋_GB2312" w:cs="Times New Roman"/>
          <w:sz w:val="32"/>
          <w:lang w:val="en-US" w:eastAsia="zh-CN"/>
        </w:rPr>
      </w:pPr>
      <w:r>
        <w:rPr>
          <w:rFonts w:hint="eastAsia" w:ascii="仿宋_GB2312" w:hAnsi="黑体" w:eastAsia="仿宋_GB2312" w:cs="Times New Roman"/>
          <w:sz w:val="32"/>
          <w:lang w:val="en-US" w:eastAsia="zh-CN"/>
        </w:rPr>
        <w:t>《食品安全国家标准 食品中兽药最大残留限量》（GB 31650-2019）中规定，恩诺沙星与环氧沙星之和在淡水鱼中的最大残留限量为100mg/kg。</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黑体" w:eastAsia="仿宋_GB2312" w:cs="Times New Roman"/>
          <w:sz w:val="32"/>
        </w:rPr>
      </w:pPr>
      <w:r>
        <w:rPr>
          <w:rFonts w:hint="eastAsia" w:ascii="仿宋_GB2312" w:hAnsi="黑体" w:eastAsia="仿宋_GB2312" w:cs="Times New Roman"/>
          <w:sz w:val="32"/>
        </w:rPr>
        <w:t>造成水产品中恩诺沙星与环丙沙星之和不合格的原因可能是养殖或运输过程中为了防止鱼、虾等生病而违规使用。</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黑体" w:eastAsia="仿宋_GB2312" w:cs="Times New Roman"/>
          <w:b/>
          <w:bCs/>
          <w:sz w:val="32"/>
          <w:lang w:eastAsia="zh-CN"/>
        </w:rPr>
      </w:pPr>
      <w:bookmarkStart w:id="5" w:name="_Toc20275"/>
      <w:r>
        <w:rPr>
          <w:rFonts w:hint="eastAsia" w:ascii="仿宋_GB2312" w:hAnsi="黑体" w:eastAsia="仿宋_GB2312" w:cs="Times New Roman"/>
          <w:b/>
          <w:bCs/>
          <w:sz w:val="32"/>
          <w:lang w:val="en-US" w:eastAsia="zh-CN"/>
        </w:rPr>
        <w:t>四、</w:t>
      </w:r>
      <w:r>
        <w:rPr>
          <w:rFonts w:hint="eastAsia" w:ascii="仿宋_GB2312" w:hAnsi="黑体" w:eastAsia="仿宋_GB2312" w:cs="Times New Roman"/>
          <w:b/>
          <w:bCs/>
          <w:sz w:val="32"/>
        </w:rPr>
        <w:t>铅(以Pb计)</w:t>
      </w:r>
      <w:bookmarkEnd w:id="5"/>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黑体" w:eastAsia="仿宋_GB2312" w:cs="Times New Roman"/>
          <w:sz w:val="32"/>
        </w:rPr>
      </w:pPr>
      <w:r>
        <w:rPr>
          <w:rFonts w:hint="eastAsia" w:ascii="仿宋_GB2312" w:hAnsi="黑体" w:eastAsia="仿宋_GB2312" w:cs="Times New Roman"/>
          <w:sz w:val="32"/>
        </w:rPr>
        <w:t>铅是一种对人体有害的金属元素，可通过消化道及呼吸道进入体内，是一种慢性和积累性毒物，进入人体后，少部分会随着身体代谢排出体外，大部分会在体内沉积，危害人体健康，能影响人体神经系统的许多功能，特别是对婴幼儿的智力发育，儿童的学习记忆功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黑体" w:eastAsia="仿宋_GB2312" w:cs="Times New Roman"/>
          <w:sz w:val="32"/>
        </w:rPr>
      </w:pPr>
      <w:r>
        <w:rPr>
          <w:rFonts w:hint="eastAsia" w:ascii="仿宋_GB2312" w:hAnsi="黑体" w:eastAsia="仿宋_GB2312" w:cs="Times New Roman"/>
          <w:sz w:val="32"/>
        </w:rPr>
        <w:t>《食品安全国家标准</w:t>
      </w:r>
      <w:r>
        <w:rPr>
          <w:rFonts w:hint="eastAsia" w:ascii="仿宋_GB2312" w:hAnsi="黑体" w:eastAsia="仿宋_GB2312" w:cs="Times New Roman"/>
          <w:sz w:val="32"/>
          <w:lang w:val="en-US" w:eastAsia="zh-CN"/>
        </w:rPr>
        <w:t xml:space="preserve"> </w:t>
      </w:r>
      <w:r>
        <w:rPr>
          <w:rFonts w:hint="eastAsia" w:ascii="仿宋_GB2312" w:hAnsi="黑体" w:eastAsia="仿宋_GB2312" w:cs="Times New Roman"/>
          <w:sz w:val="32"/>
        </w:rPr>
        <w:t>食品中污染物限量》（GB 2762</w:t>
      </w:r>
      <w:r>
        <w:rPr>
          <w:rFonts w:hint="eastAsia" w:ascii="仿宋_GB2312" w:hAnsi="黑体" w:eastAsia="仿宋_GB2312" w:cs="Times New Roman"/>
          <w:sz w:val="32"/>
          <w:lang w:val="en-US" w:eastAsia="zh-CN"/>
        </w:rPr>
        <w:t>-</w:t>
      </w:r>
      <w:r>
        <w:rPr>
          <w:rFonts w:hint="eastAsia" w:ascii="仿宋_GB2312" w:hAnsi="黑体" w:eastAsia="仿宋_GB2312" w:cs="Times New Roman"/>
          <w:sz w:val="32"/>
        </w:rPr>
        <w:t>2017）中规定，</w:t>
      </w:r>
      <w:r>
        <w:rPr>
          <w:rFonts w:hint="eastAsia" w:ascii="仿宋_GB2312" w:hAnsi="黑体" w:eastAsia="仿宋_GB2312" w:cs="Times New Roman"/>
          <w:sz w:val="32"/>
          <w:lang w:val="en-US" w:eastAsia="zh-CN"/>
        </w:rPr>
        <w:t>姜</w:t>
      </w:r>
      <w:r>
        <w:rPr>
          <w:rFonts w:hint="eastAsia" w:ascii="仿宋_GB2312" w:hAnsi="黑体" w:eastAsia="仿宋_GB2312" w:cs="Times New Roman"/>
          <w:sz w:val="32"/>
        </w:rPr>
        <w:t>中铅的最大限量值为</w:t>
      </w:r>
      <w:r>
        <w:rPr>
          <w:rFonts w:hint="eastAsia" w:ascii="仿宋_GB2312" w:hAnsi="黑体" w:eastAsia="仿宋_GB2312" w:cs="Times New Roman"/>
          <w:sz w:val="32"/>
          <w:lang w:val="en-US" w:eastAsia="zh-CN"/>
        </w:rPr>
        <w:t>0.1</w:t>
      </w:r>
      <w:r>
        <w:rPr>
          <w:rFonts w:hint="eastAsia" w:ascii="仿宋_GB2312" w:hAnsi="黑体" w:eastAsia="仿宋_GB2312" w:cs="Times New Roman"/>
          <w:sz w:val="32"/>
        </w:rPr>
        <w:t>mg/kg。</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黑体" w:eastAsia="仿宋_GB2312" w:cs="Times New Roman"/>
          <w:sz w:val="32"/>
        </w:rPr>
      </w:pPr>
      <w:r>
        <w:rPr>
          <w:rFonts w:hint="eastAsia" w:ascii="仿宋_GB2312" w:hAnsi="黑体" w:eastAsia="仿宋_GB2312" w:cs="Times New Roman"/>
          <w:sz w:val="32"/>
        </w:rPr>
        <w:t>造成</w:t>
      </w:r>
      <w:r>
        <w:rPr>
          <w:rFonts w:hint="eastAsia" w:ascii="仿宋_GB2312" w:hAnsi="黑体" w:eastAsia="仿宋_GB2312" w:cs="Times New Roman"/>
          <w:sz w:val="32"/>
          <w:lang w:val="en-US" w:eastAsia="zh-CN"/>
        </w:rPr>
        <w:t>姜</w:t>
      </w:r>
      <w:r>
        <w:rPr>
          <w:rFonts w:hint="eastAsia" w:ascii="仿宋_GB2312" w:hAnsi="黑体" w:eastAsia="仿宋_GB2312" w:cs="Times New Roman"/>
          <w:sz w:val="32"/>
        </w:rPr>
        <w:t>中铅不合格的主要原因</w:t>
      </w:r>
      <w:r>
        <w:rPr>
          <w:rFonts w:hint="eastAsia" w:ascii="仿宋_GB2312" w:hAnsi="黑体" w:eastAsia="仿宋_GB2312" w:cs="Times New Roman"/>
          <w:sz w:val="32"/>
          <w:lang w:val="en-US" w:eastAsia="zh-CN"/>
        </w:rPr>
        <w:t>有：姜</w:t>
      </w:r>
      <w:r>
        <w:rPr>
          <w:rFonts w:hint="eastAsia" w:ascii="仿宋_GB2312" w:hAnsi="黑体" w:eastAsia="仿宋_GB2312" w:cs="Times New Roman"/>
          <w:sz w:val="32"/>
        </w:rPr>
        <w:t>生长的过程中会吸收环境中的铅；采摘加工过程中引入；</w:t>
      </w:r>
      <w:r>
        <w:rPr>
          <w:rFonts w:hint="eastAsia" w:ascii="仿宋_GB2312" w:hAnsi="黑体" w:eastAsia="仿宋_GB2312" w:cs="Times New Roman"/>
          <w:sz w:val="32"/>
          <w:lang w:val="en-US" w:eastAsia="zh-CN"/>
        </w:rPr>
        <w:t>运输设备、</w:t>
      </w:r>
      <w:r>
        <w:rPr>
          <w:rFonts w:hint="eastAsia" w:ascii="仿宋_GB2312" w:hAnsi="黑体" w:eastAsia="仿宋_GB2312" w:cs="Times New Roman"/>
          <w:sz w:val="32"/>
        </w:rPr>
        <w:t>包装不当，也会</w:t>
      </w:r>
      <w:r>
        <w:rPr>
          <w:rFonts w:hint="eastAsia" w:ascii="仿宋_GB2312" w:hAnsi="黑体" w:eastAsia="仿宋_GB2312" w:cs="Times New Roman"/>
          <w:sz w:val="32"/>
          <w:lang w:val="en-US" w:eastAsia="zh-CN"/>
        </w:rPr>
        <w:t>导致姜中</w:t>
      </w:r>
      <w:r>
        <w:rPr>
          <w:rFonts w:hint="eastAsia" w:ascii="仿宋_GB2312" w:hAnsi="黑体" w:eastAsia="仿宋_GB2312" w:cs="Times New Roman"/>
          <w:sz w:val="32"/>
        </w:rPr>
        <w:t>铅含量超标。</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黑体" w:eastAsia="仿宋_GB2312" w:cs="Times New Roman"/>
          <w:b/>
          <w:bCs/>
          <w:sz w:val="32"/>
          <w:lang w:val="en-US" w:eastAsia="zh-CN"/>
        </w:rPr>
      </w:pPr>
      <w:bookmarkStart w:id="6" w:name="_Toc11677"/>
      <w:r>
        <w:rPr>
          <w:rFonts w:hint="eastAsia" w:ascii="仿宋_GB2312" w:hAnsi="黑体" w:eastAsia="仿宋_GB2312" w:cs="Times New Roman"/>
          <w:b/>
          <w:bCs/>
          <w:sz w:val="32"/>
          <w:lang w:val="en-US" w:eastAsia="zh-CN"/>
        </w:rPr>
        <w:t>五、亚硝酸盐</w:t>
      </w:r>
      <w:bookmarkEnd w:id="6"/>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黑体" w:eastAsia="仿宋_GB2312" w:cs="Times New Roman"/>
          <w:sz w:val="32"/>
          <w:lang w:eastAsia="zh-CN"/>
        </w:rPr>
      </w:pPr>
      <w:r>
        <w:rPr>
          <w:rFonts w:hint="eastAsia" w:ascii="仿宋_GB2312" w:hAnsi="黑体" w:eastAsia="仿宋_GB2312" w:cs="Times New Roman"/>
          <w:sz w:val="32"/>
          <w:lang w:eastAsia="zh-CN"/>
        </w:rPr>
        <w:t>硝酸盐和亚硝酸盐广泛存在于人类环境中，是自然界中最普遍的含氮化合物。硝酸盐超标对人体的危害有过量摄入高硝酸盐的水或食物会引发消化道癌症或者肝癌；摄取过量的硝酸盐可导致人体活动迟钝，工作能力减退，头晕，昏迷。一次用量过大甚至可以导致死亡；硝酸盐会干扰人体红细胞的输氧功能，造成身体缺氧；硝酸盐、亚硝酸盐含量过高，不仅会导致地方性甲状腺肿大，而且会干扰肌体对维生素A的利用，导致维生素A缺乏症，血质下降，抑制中心迷走神经,使心动过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黑体" w:eastAsia="仿宋_GB2312" w:cs="Times New Roman"/>
          <w:sz w:val="32"/>
        </w:rPr>
      </w:pPr>
      <w:r>
        <w:rPr>
          <w:rFonts w:hint="eastAsia" w:ascii="仿宋_GB2312" w:hAnsi="黑体" w:eastAsia="仿宋_GB2312" w:cs="Times New Roman"/>
          <w:sz w:val="32"/>
        </w:rPr>
        <w:t>《食品安全国家标准 食品添加剂使用标准》（GB 276</w:t>
      </w:r>
      <w:r>
        <w:rPr>
          <w:rFonts w:hint="eastAsia" w:ascii="仿宋_GB2312" w:hAnsi="黑体" w:eastAsia="仿宋_GB2312" w:cs="Times New Roman"/>
          <w:sz w:val="32"/>
          <w:lang w:val="en-US" w:eastAsia="zh-CN"/>
        </w:rPr>
        <w:t>0-</w:t>
      </w:r>
      <w:r>
        <w:rPr>
          <w:rFonts w:hint="eastAsia" w:ascii="仿宋_GB2312" w:hAnsi="黑体" w:eastAsia="仿宋_GB2312" w:cs="Times New Roman"/>
          <w:sz w:val="32"/>
        </w:rPr>
        <w:t>201</w:t>
      </w:r>
      <w:r>
        <w:rPr>
          <w:rFonts w:hint="eastAsia" w:ascii="仿宋_GB2312" w:hAnsi="黑体" w:eastAsia="仿宋_GB2312" w:cs="Times New Roman"/>
          <w:sz w:val="32"/>
          <w:lang w:val="en-US" w:eastAsia="zh-CN"/>
        </w:rPr>
        <w:t>4</w:t>
      </w:r>
      <w:r>
        <w:rPr>
          <w:rFonts w:hint="eastAsia" w:ascii="仿宋_GB2312" w:hAnsi="黑体" w:eastAsia="仿宋_GB2312" w:cs="Times New Roman"/>
          <w:sz w:val="32"/>
        </w:rPr>
        <w:t>）中规定，</w:t>
      </w:r>
      <w:r>
        <w:rPr>
          <w:rFonts w:hint="eastAsia" w:ascii="仿宋_GB2312" w:hAnsi="黑体" w:eastAsia="仿宋_GB2312" w:cs="Times New Roman"/>
          <w:sz w:val="32"/>
          <w:lang w:val="en-US" w:eastAsia="zh-CN"/>
        </w:rPr>
        <w:t>腌腊肉制品</w:t>
      </w:r>
      <w:r>
        <w:rPr>
          <w:rFonts w:hint="eastAsia" w:ascii="仿宋_GB2312" w:hAnsi="黑体" w:eastAsia="仿宋_GB2312" w:cs="Times New Roman"/>
          <w:sz w:val="32"/>
        </w:rPr>
        <w:t>中</w:t>
      </w:r>
      <w:r>
        <w:rPr>
          <w:rFonts w:hint="eastAsia" w:ascii="仿宋_GB2312" w:hAnsi="黑体" w:eastAsia="仿宋_GB2312" w:cs="Times New Roman"/>
          <w:sz w:val="32"/>
          <w:lang w:val="en-US" w:eastAsia="zh-CN"/>
        </w:rPr>
        <w:t>亚硝酸盐</w:t>
      </w:r>
      <w:r>
        <w:rPr>
          <w:rFonts w:hint="eastAsia" w:ascii="仿宋_GB2312" w:hAnsi="黑体" w:eastAsia="仿宋_GB2312" w:cs="Times New Roman"/>
          <w:sz w:val="32"/>
        </w:rPr>
        <w:t>的</w:t>
      </w:r>
      <w:r>
        <w:rPr>
          <w:rFonts w:hint="eastAsia" w:ascii="仿宋_GB2312" w:hAnsi="黑体" w:eastAsia="仿宋_GB2312" w:cs="Times New Roman"/>
          <w:sz w:val="32"/>
          <w:lang w:val="en-US" w:eastAsia="zh-CN"/>
        </w:rPr>
        <w:t>最大残留量</w:t>
      </w:r>
      <w:r>
        <w:rPr>
          <w:rFonts w:hint="eastAsia" w:ascii="仿宋_GB2312" w:hAnsi="黑体" w:eastAsia="仿宋_GB2312" w:cs="Times New Roman"/>
          <w:sz w:val="32"/>
        </w:rPr>
        <w:t>为</w:t>
      </w:r>
      <w:r>
        <w:rPr>
          <w:rFonts w:hint="eastAsia" w:ascii="仿宋_GB2312" w:hAnsi="黑体" w:eastAsia="仿宋_GB2312" w:cs="Times New Roman"/>
          <w:sz w:val="32"/>
          <w:lang w:val="en-US" w:eastAsia="zh-CN"/>
        </w:rPr>
        <w:t>30mg/kg</w:t>
      </w:r>
      <w:r>
        <w:rPr>
          <w:rFonts w:hint="eastAsia" w:ascii="仿宋_GB2312" w:hAnsi="黑体" w:eastAsia="仿宋_GB2312" w:cs="Times New Roman"/>
          <w:sz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黑体" w:eastAsia="仿宋_GB2312" w:cs="Times New Roman"/>
          <w:sz w:val="32"/>
          <w:lang w:eastAsia="zh-CN"/>
        </w:rPr>
      </w:pPr>
      <w:r>
        <w:rPr>
          <w:rFonts w:hint="eastAsia" w:ascii="仿宋_GB2312" w:hAnsi="黑体" w:eastAsia="仿宋_GB2312" w:cs="Times New Roman"/>
          <w:sz w:val="32"/>
          <w:lang w:val="en-US" w:eastAsia="zh-CN"/>
        </w:rPr>
        <w:t>造成亚</w:t>
      </w:r>
      <w:r>
        <w:rPr>
          <w:rFonts w:hint="eastAsia" w:ascii="仿宋_GB2312" w:hAnsi="黑体" w:eastAsia="仿宋_GB2312" w:cs="Times New Roman"/>
          <w:sz w:val="32"/>
          <w:lang w:eastAsia="zh-CN"/>
        </w:rPr>
        <w:t>硝酸盐超标的原因</w:t>
      </w:r>
      <w:r>
        <w:rPr>
          <w:rFonts w:hint="eastAsia" w:ascii="仿宋_GB2312" w:hAnsi="黑体" w:eastAsia="仿宋_GB2312" w:cs="Times New Roman"/>
          <w:sz w:val="32"/>
          <w:lang w:val="en-US" w:eastAsia="zh-CN"/>
        </w:rPr>
        <w:t>有：腌腊肉生产过程中加入大量食盐，晾晒腌制过程操作不当导致产生硝酸盐，硝酸盐又会转化为亚硝酸盐，进而导致亚硝酸盐含量超标</w:t>
      </w:r>
      <w:r>
        <w:rPr>
          <w:rFonts w:hint="eastAsia" w:ascii="仿宋_GB2312" w:hAnsi="黑体" w:eastAsia="仿宋_GB2312" w:cs="Times New Roman"/>
          <w:sz w:val="32"/>
          <w:lang w:eastAsia="zh-CN"/>
        </w:rPr>
        <w:t>；</w:t>
      </w:r>
      <w:r>
        <w:rPr>
          <w:rFonts w:hint="eastAsia" w:ascii="仿宋_GB2312" w:hAnsi="黑体" w:eastAsia="仿宋_GB2312" w:cs="Times New Roman"/>
          <w:sz w:val="32"/>
          <w:lang w:val="en-US" w:eastAsia="zh-CN"/>
        </w:rPr>
        <w:t>生产企业为节约成本使用亚硝酸盐生产产品</w:t>
      </w:r>
      <w:r>
        <w:rPr>
          <w:rFonts w:hint="eastAsia" w:ascii="仿宋_GB2312" w:hAnsi="黑体" w:eastAsia="仿宋_GB2312" w:cs="Times New Roman"/>
          <w:sz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黑体" w:eastAsia="仿宋_GB2312" w:cs="Times New Roman"/>
          <w:b/>
          <w:bCs/>
          <w:sz w:val="32"/>
          <w:lang w:eastAsia="zh-CN"/>
        </w:rPr>
      </w:pPr>
      <w:bookmarkStart w:id="7" w:name="_Toc15910"/>
      <w:r>
        <w:rPr>
          <w:rFonts w:hint="eastAsia" w:ascii="仿宋_GB2312" w:hAnsi="黑体" w:eastAsia="仿宋_GB2312" w:cs="Times New Roman"/>
          <w:b/>
          <w:bCs/>
          <w:sz w:val="32"/>
          <w:lang w:val="en-US" w:eastAsia="zh-CN"/>
        </w:rPr>
        <w:t>六、酸价(以脂肪计)</w:t>
      </w:r>
      <w:bookmarkEnd w:id="7"/>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黑体" w:eastAsia="仿宋_GB2312" w:cs="Times New Roman"/>
          <w:sz w:val="32"/>
        </w:rPr>
      </w:pPr>
      <w:r>
        <w:rPr>
          <w:rFonts w:hint="eastAsia" w:ascii="仿宋_GB2312" w:hAnsi="黑体" w:eastAsia="仿宋_GB2312" w:cs="Times New Roman"/>
          <w:sz w:val="32"/>
        </w:rPr>
        <w:t>酸价亦称为中和值、酸值、酸度，在脂肪生产过程中，酸价可作为水解程度的指标，在其保藏过程中，则可作为酸败的指标。酸价越小，说明油脂质量越好，新鲜度和精炼程度越好。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黑体" w:eastAsia="仿宋_GB2312" w:cs="Times New Roman"/>
          <w:sz w:val="32"/>
        </w:rPr>
      </w:pPr>
      <w:r>
        <w:rPr>
          <w:rFonts w:hint="eastAsia" w:ascii="仿宋_GB2312" w:hAnsi="黑体" w:eastAsia="仿宋_GB2312" w:cs="Times New Roman"/>
          <w:sz w:val="32"/>
        </w:rPr>
        <w:t>酸价主要反映食品中的油脂酸败的程度。长期摄入酸价超标的食物会对健康有一定影响，超标严重时所产生的醛、酮、酸会破坏脂溶性维生素，导致肠胃不适。一般情况下，消费者可以辨别出油脂酸败特有的哈喇等异味，需避免食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黑体" w:eastAsia="仿宋_GB2312" w:cs="Times New Roman"/>
          <w:sz w:val="32"/>
        </w:rPr>
      </w:pPr>
      <w:r>
        <w:rPr>
          <w:rFonts w:hint="eastAsia" w:ascii="仿宋_GB2312" w:hAnsi="黑体" w:eastAsia="仿宋_GB2312" w:cs="Times New Roman"/>
          <w:sz w:val="32"/>
        </w:rPr>
        <w:t>《食品安全国家标准 坚果与籽类食品》（GB 19300-2014）中规定，坚果与籽类食品中酸价（以脂肪计）的最大限值为</w:t>
      </w:r>
      <w:r>
        <w:rPr>
          <w:rFonts w:hint="eastAsia" w:ascii="仿宋_GB2312" w:hAnsi="黑体" w:eastAsia="仿宋_GB2312" w:cs="Times New Roman"/>
          <w:sz w:val="32"/>
          <w:lang w:val="en-US" w:eastAsia="zh-CN"/>
        </w:rPr>
        <w:t>3</w:t>
      </w:r>
      <w:r>
        <w:rPr>
          <w:rFonts w:hint="eastAsia" w:ascii="仿宋_GB2312" w:hAnsi="黑体" w:eastAsia="仿宋_GB2312" w:cs="Times New Roman"/>
          <w:sz w:val="32"/>
        </w:rPr>
        <w:t>mg/g。</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黑体" w:eastAsia="仿宋_GB2312" w:cs="Times New Roman"/>
          <w:sz w:val="32"/>
        </w:rPr>
      </w:pPr>
      <w:r>
        <w:rPr>
          <w:rFonts w:hint="eastAsia" w:ascii="仿宋_GB2312" w:hAnsi="黑体" w:eastAsia="仿宋_GB2312" w:cs="Times New Roman"/>
          <w:sz w:val="32"/>
        </w:rPr>
        <w:t>造成酸价不合格的主要原因有：生产者原料采购上把关不严，购进的油脂质量不达标；生产者或是经销商产品储藏条件不当，特别是在环境温度较高时，易导致食品中油脂的氧化酸败。</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黑体" w:eastAsia="仿宋_GB2312" w:cs="Times New Roman"/>
          <w:b/>
          <w:bCs/>
          <w:sz w:val="32"/>
        </w:rPr>
      </w:pPr>
      <w:r>
        <w:rPr>
          <w:rFonts w:hint="eastAsia" w:ascii="仿宋_GB2312" w:hAnsi="黑体" w:eastAsia="仿宋_GB2312" w:cs="Times New Roman"/>
          <w:b/>
          <w:bCs/>
          <w:sz w:val="32"/>
          <w:lang w:val="en-US" w:eastAsia="zh-CN"/>
        </w:rPr>
        <w:t>七、</w:t>
      </w:r>
      <w:r>
        <w:rPr>
          <w:rFonts w:hint="eastAsia" w:ascii="仿宋_GB2312" w:hAnsi="黑体" w:eastAsia="仿宋_GB2312" w:cs="Times New Roman"/>
          <w:b/>
          <w:bCs/>
          <w:sz w:val="32"/>
        </w:rPr>
        <w:t>还原糖分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黑体" w:eastAsia="仿宋_GB2312" w:cs="Times New Roman"/>
          <w:sz w:val="32"/>
        </w:rPr>
      </w:pPr>
      <w:r>
        <w:rPr>
          <w:rFonts w:hint="eastAsia" w:ascii="仿宋_GB2312" w:hAnsi="黑体" w:eastAsia="仿宋_GB2312" w:cs="Times New Roman"/>
          <w:sz w:val="32"/>
        </w:rPr>
        <w:t>还原糖分是指具有还原性的糖类，包括葡萄糖、果糖、半乳糖、乳糖和麦芽糖等。还原糖分是食糖的品质指标之一，还原糖分不达标会影响产品质量，会影响食糖的口感、外观等。行业推荐产品标准《冰片糖》（QB/T 2685-2005）中规定，二级冰片糖还原糖分的限值为7.0%～12.0%。还原糖分不合格的原因，可能是原料纯度不高；也可能是生产工艺控制不当，导致产生过多的还原糖分；还可能与运输、储存条件控制不当等有关。</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黑体" w:eastAsia="仿宋_GB2312" w:cs="Times New Roman"/>
          <w:b/>
          <w:bCs/>
          <w:sz w:val="32"/>
        </w:rPr>
      </w:pPr>
      <w:r>
        <w:rPr>
          <w:rFonts w:hint="eastAsia" w:ascii="仿宋_GB2312" w:hAnsi="黑体" w:eastAsia="仿宋_GB2312" w:cs="Times New Roman"/>
          <w:b/>
          <w:bCs/>
          <w:sz w:val="32"/>
          <w:lang w:val="en-US" w:eastAsia="zh-CN"/>
        </w:rPr>
        <w:t>八、</w:t>
      </w:r>
      <w:r>
        <w:rPr>
          <w:rFonts w:hint="eastAsia" w:ascii="仿宋_GB2312" w:hAnsi="黑体" w:eastAsia="仿宋_GB2312" w:cs="Times New Roman"/>
          <w:b/>
          <w:bCs/>
          <w:sz w:val="32"/>
        </w:rPr>
        <w:t>氯霉素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黑体" w:eastAsia="仿宋_GB2312" w:cs="Times New Roman"/>
          <w:sz w:val="32"/>
        </w:rPr>
      </w:pPr>
      <w:r>
        <w:rPr>
          <w:rFonts w:hint="eastAsia" w:ascii="仿宋_GB2312" w:hAnsi="黑体" w:eastAsia="仿宋_GB2312" w:cs="Times New Roman"/>
          <w:sz w:val="32"/>
        </w:rPr>
        <w:t>氯霉素属于抗生素的一种，适用范围非常广泛，曾经还被当做兽药来治疗畜禽和水产饲养中的动物疾病，但是长期微量摄入氯霉素，会导致人体对一些细菌产生耐药性，还会引起体内正常菌群失调，对造血系统造成影响，甚至容易导致血液疾病，如贫血、白血病等。</w:t>
      </w:r>
    </w:p>
    <w:p>
      <w:pPr>
        <w:spacing w:line="560" w:lineRule="exact"/>
        <w:ind w:firstLine="640" w:firstLineChars="200"/>
        <w:rPr>
          <w:rFonts w:ascii="黑体" w:hAnsi="黑体" w:eastAsia="黑体"/>
          <w:sz w:val="32"/>
        </w:rPr>
      </w:pPr>
      <w:r>
        <w:rPr>
          <w:rFonts w:hint="eastAsia" w:eastAsia="黑体"/>
          <w:sz w:val="32"/>
          <w:szCs w:val="32"/>
          <w:lang w:val="en-US" w:eastAsia="zh-CN"/>
        </w:rPr>
        <w:t>九、</w:t>
      </w:r>
      <w:r>
        <w:rPr>
          <w:rFonts w:hint="eastAsia" w:ascii="黑体" w:hAnsi="黑体" w:eastAsia="黑体"/>
          <w:sz w:val="32"/>
        </w:rPr>
        <w:t>过氧化值</w:t>
      </w:r>
    </w:p>
    <w:p>
      <w:pPr>
        <w:spacing w:line="560" w:lineRule="exact"/>
        <w:ind w:firstLine="640" w:firstLineChars="200"/>
        <w:rPr>
          <w:rFonts w:hint="eastAsia" w:ascii="仿宋_GB2312" w:hAnsi="黑体" w:eastAsia="仿宋_GB2312"/>
          <w:sz w:val="32"/>
        </w:rPr>
      </w:pPr>
      <w:r>
        <w:rPr>
          <w:rFonts w:hint="eastAsia" w:ascii="仿宋_GB2312" w:hAnsi="黑体" w:eastAsia="仿宋_GB2312"/>
          <w:sz w:val="32"/>
        </w:rPr>
        <w:t>过氧化值表示油脂和脂肪酸等被氧化程度的一种指标。那些以油脂、脂肪为原料而制作的食品，通过检测其过氧化值来判断其质量和变质程度。长期食用过氧化值超标的食物对人体的健康非常不利，因为过氧化物可以破坏细胞膜结构，导致胃癌、肝癌、动脉硬化、心肌梗塞、脱发和体重减轻等。长期食用过高过氧化值的食物对心血管病、肿瘤等慢性病有促进作用。</w:t>
      </w:r>
    </w:p>
    <w:p>
      <w:pPr>
        <w:spacing w:line="560" w:lineRule="exact"/>
        <w:ind w:firstLine="640" w:firstLineChars="200"/>
        <w:rPr>
          <w:rFonts w:eastAsia="黑体"/>
          <w:sz w:val="32"/>
          <w:szCs w:val="32"/>
        </w:rPr>
      </w:pPr>
      <w:r>
        <w:rPr>
          <w:rFonts w:hint="eastAsia" w:ascii="仿宋_GB2312" w:hAnsi="黑体" w:eastAsia="仿宋_GB2312"/>
          <w:sz w:val="32"/>
        </w:rPr>
        <w:t>过氧化值超标的原因可能是产品用油已经变质，或者产品本身在储存过程中环境条件控制不当，导致油脂酸败;也可能是原料中的脂肪已经氧化，原料储存不当，未采取有效的抗氧化措施，使得终产品油脂氧化。</w:t>
      </w:r>
    </w:p>
    <w:p>
      <w:pPr>
        <w:spacing w:line="560" w:lineRule="exact"/>
        <w:ind w:firstLine="640" w:firstLineChars="200"/>
        <w:rPr>
          <w:rFonts w:ascii="黑体" w:eastAsia="黑体"/>
          <w:color w:val="000000"/>
          <w:sz w:val="32"/>
          <w:szCs w:val="32"/>
        </w:rPr>
      </w:pPr>
      <w:r>
        <w:rPr>
          <w:rFonts w:hint="eastAsia" w:eastAsia="黑体"/>
          <w:sz w:val="32"/>
          <w:szCs w:val="32"/>
          <w:lang w:val="en-US" w:eastAsia="zh-CN"/>
        </w:rPr>
        <w:t>十、</w:t>
      </w:r>
      <w:r>
        <w:rPr>
          <w:rFonts w:hint="eastAsia" w:ascii="黑体" w:eastAsia="黑体"/>
          <w:color w:val="000000"/>
          <w:sz w:val="32"/>
          <w:szCs w:val="32"/>
        </w:rPr>
        <w:t>菌落总数</w:t>
      </w:r>
    </w:p>
    <w:p>
      <w:pPr>
        <w:spacing w:line="560" w:lineRule="exact"/>
        <w:ind w:firstLine="640" w:firstLineChars="200"/>
        <w:rPr>
          <w:rFonts w:ascii="仿宋_GB2312" w:eastAsia="仿宋_GB2312"/>
          <w:color w:val="000000"/>
          <w:sz w:val="32"/>
          <w:szCs w:val="32"/>
        </w:rPr>
      </w:pPr>
      <w:r>
        <w:rPr>
          <w:rFonts w:hint="eastAsia" w:ascii="仿宋_GB2312" w:eastAsia="仿宋_GB2312"/>
          <w:sz w:val="32"/>
          <w:szCs w:val="32"/>
        </w:rPr>
        <w:t>菌落总数是用以判定食品被细菌污染的程度，反映食品的新鲜程度和卫生状况的重要微生物指标之一。如果食品的菌落总数严重超标，说明其产品的卫生状况达不到基本的卫生要求，将会破坏食品的营养成分，加速食品的腐败变质，使食品失去食用价值。消费者食用微生物超标严重的食品，很容易患痢疾等肠道疾病，可能引起呕吐、腹泻等症状，危害人体健康安全。</w:t>
      </w:r>
    </w:p>
    <w:p>
      <w:pPr>
        <w:spacing w:line="560" w:lineRule="exact"/>
        <w:ind w:firstLine="640" w:firstLineChars="200"/>
        <w:rPr>
          <w:rFonts w:hint="eastAsia" w:ascii="仿宋_GB2312" w:hAnsi="黑体" w:eastAsia="仿宋_GB2312" w:cs="Times New Roman"/>
          <w:sz w:val="32"/>
        </w:rPr>
      </w:pPr>
      <w:r>
        <w:rPr>
          <w:rFonts w:hint="eastAsia" w:ascii="仿宋_GB2312" w:eastAsia="仿宋_GB2312"/>
          <w:color w:val="000000"/>
          <w:sz w:val="32"/>
          <w:szCs w:val="32"/>
        </w:rPr>
        <w:t>监督抽检发现食品存在菌落总数超标的情况，说明个别企业可能未按要求严格控制生产加工过程的卫生条件，或者包装容器清洗消毒不到位；还有可能与产品包装密封不严、储运条件控制不当等有关。</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6A34853"/>
    <w:rsid w:val="0028364C"/>
    <w:rsid w:val="00507D06"/>
    <w:rsid w:val="00C803A1"/>
    <w:rsid w:val="010F1969"/>
    <w:rsid w:val="1CDC2EB7"/>
    <w:rsid w:val="302656B2"/>
    <w:rsid w:val="3075202D"/>
    <w:rsid w:val="30CE596C"/>
    <w:rsid w:val="39AA0D5C"/>
    <w:rsid w:val="3E8324FC"/>
    <w:rsid w:val="41F408BC"/>
    <w:rsid w:val="45AE33A6"/>
    <w:rsid w:val="56A34853"/>
    <w:rsid w:val="6B8B2BDA"/>
    <w:rsid w:val="6D5806F1"/>
    <w:rsid w:val="75F97D40"/>
    <w:rsid w:val="7B975E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ind w:firstLine="0" w:firstLineChars="0"/>
      <w:outlineLvl w:val="1"/>
    </w:pPr>
    <w:rPr>
      <w:rFonts w:ascii="Times New Roman" w:hAnsi="Times New Roman" w:eastAsia="宋体"/>
      <w:b/>
      <w:bCs/>
      <w:sz w:val="30"/>
      <w:szCs w:val="32"/>
    </w:rPr>
  </w:style>
  <w:style w:type="paragraph" w:styleId="3">
    <w:name w:val="heading 3"/>
    <w:basedOn w:val="1"/>
    <w:next w:val="1"/>
    <w:qFormat/>
    <w:uiPriority w:val="0"/>
    <w:pPr>
      <w:keepNext/>
      <w:keepLines/>
      <w:spacing w:before="50" w:beforeLines="50" w:after="50" w:afterLines="50" w:line="240" w:lineRule="auto"/>
      <w:ind w:firstLine="0" w:firstLineChars="0"/>
      <w:outlineLvl w:val="2"/>
    </w:pPr>
    <w:rPr>
      <w:rFonts w:ascii="宋体" w:hAnsi="宋体" w:eastAsia="宋体"/>
      <w:b/>
      <w:bCs/>
      <w:color w:val="auto"/>
      <w:kern w:val="2"/>
      <w:szCs w:val="32"/>
    </w:rPr>
  </w:style>
  <w:style w:type="character" w:default="1" w:styleId="5">
    <w:name w:val="Default Paragraph Font"/>
    <w:semiHidden/>
    <w:unhideWhenUsed/>
    <w:qFormat/>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4">
    <w:name w:val="Normal (Web)"/>
    <w:basedOn w:val="1"/>
    <w:uiPriority w:val="99"/>
    <w:pPr>
      <w:widowControl/>
      <w:spacing w:before="100" w:beforeAutospacing="1" w:after="100" w:afterAutospacing="1"/>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112</Words>
  <Characters>641</Characters>
  <Lines>5</Lines>
  <Paragraphs>1</Paragraphs>
  <TotalTime>1</TotalTime>
  <ScaleCrop>false</ScaleCrop>
  <LinksUpToDate>false</LinksUpToDate>
  <CharactersWithSpaces>752</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2017-04-07T00:43:00Z</dcterms:created>
  <dc:creator>gdfda</dc:creator>
  <cp:lastModifiedBy>叶轩宇</cp:lastModifiedBy>
  <dcterms:modified xsi:type="dcterms:W3CDTF">2022-08-23T06:43:26Z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y fmtid="{D5CDD505-2E9C-101B-9397-08002B2CF9AE}" pid="3" name="ICV">
    <vt:lpwstr>7B80A418F2A7404C84D181302EA5913D</vt:lpwstr>
  </property>
</Properties>
</file>