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ascii="方正小标宋简体" w:eastAsia="方正小标宋简体" w:cs="方正小标宋简体"/>
          <w:spacing w:val="-12"/>
          <w:sz w:val="44"/>
          <w:szCs w:val="44"/>
        </w:rPr>
      </w:pPr>
      <w:r>
        <w:rPr>
          <w:rFonts w:hint="eastAsia" w:ascii="方正小标宋简体" w:eastAsia="方正小标宋简体" w:cs="方正小标宋简体"/>
          <w:spacing w:val="-12"/>
          <w:sz w:val="44"/>
          <w:szCs w:val="44"/>
        </w:rPr>
        <w:t>部分不合格项目的小知识</w:t>
      </w:r>
    </w:p>
    <w:p>
      <w:pPr>
        <w:spacing w:line="560" w:lineRule="exact"/>
        <w:jc w:val="center"/>
        <w:rPr>
          <w:rFonts w:ascii="方正小标宋简体" w:eastAsia="方正小标宋简体" w:cs="Times New Roman"/>
          <w:spacing w:val="-12"/>
          <w:sz w:val="44"/>
          <w:szCs w:val="44"/>
        </w:rPr>
      </w:pPr>
    </w:p>
    <w:p>
      <w:pPr>
        <w:spacing w:line="600" w:lineRule="exact"/>
        <w:rPr>
          <w:rFonts w:ascii="黑体" w:hAnsi="黑体" w:eastAsia="黑体" w:cs="黑体"/>
          <w:spacing w:val="-12"/>
          <w:sz w:val="32"/>
          <w:szCs w:val="32"/>
        </w:rPr>
      </w:pPr>
      <w:r>
        <w:rPr>
          <w:rFonts w:hint="eastAsia" w:ascii="黑体" w:hAnsi="黑体" w:eastAsia="黑体" w:cs="黑体"/>
          <w:spacing w:val="-12"/>
          <w:sz w:val="32"/>
          <w:szCs w:val="32"/>
        </w:rPr>
        <w:t>一、大肠菌群</w:t>
      </w:r>
    </w:p>
    <w:p>
      <w:pPr>
        <w:spacing w:line="360" w:lineRule="auto"/>
        <w:ind w:firstLine="640" w:firstLineChars="200"/>
        <w:jc w:val="left"/>
        <w:rPr>
          <w:rFonts w:ascii="仿宋_GB2312" w:hAnsi="Calibri" w:eastAsia="仿宋_GB2312" w:cs="Calibri"/>
          <w:sz w:val="32"/>
          <w:szCs w:val="21"/>
        </w:rPr>
      </w:pPr>
      <w:r>
        <w:rPr>
          <w:rFonts w:hint="eastAsia" w:ascii="仿宋_GB2312" w:hAnsi="Calibri" w:eastAsia="仿宋_GB2312" w:cs="Calibri"/>
          <w:sz w:val="32"/>
          <w:szCs w:val="21"/>
        </w:rPr>
        <w:t>大肠菌群是国内外通用的食品污染常用指示菌之一。食品中检出大肠菌群，提示被致病菌（如沙门氏菌、志贺氏菌、致病性大肠杆菌）污染的可能性较大。如果食品中的大肠菌群严重超标，将会破坏食品的营养成分，使食品失去食用价值；还会加速食品腐败变质，可能危害人体健康。</w:t>
      </w:r>
    </w:p>
    <w:p>
      <w:pPr>
        <w:spacing w:line="360" w:lineRule="auto"/>
        <w:ind w:firstLine="640" w:firstLineChars="200"/>
        <w:jc w:val="left"/>
        <w:rPr>
          <w:rFonts w:ascii="仿宋_GB2312" w:hAnsi="Calibri" w:eastAsia="仿宋_GB2312" w:cs="Calibri"/>
          <w:sz w:val="32"/>
          <w:szCs w:val="21"/>
        </w:rPr>
      </w:pPr>
      <w:r>
        <w:rPr>
          <w:rFonts w:hint="eastAsia" w:ascii="仿宋_GB2312" w:hAnsi="Calibri" w:eastAsia="仿宋_GB2312" w:cs="Calibri"/>
          <w:sz w:val="32"/>
          <w:szCs w:val="21"/>
        </w:rPr>
        <w:t>《食品安全国家标准</w:t>
      </w:r>
      <w:r>
        <w:rPr>
          <w:rFonts w:ascii="仿宋_GB2312" w:hAnsi="Calibri" w:eastAsia="仿宋_GB2312" w:cs="Calibri"/>
          <w:sz w:val="32"/>
          <w:szCs w:val="21"/>
        </w:rPr>
        <w:t xml:space="preserve"> 消毒餐（饮）具》（GB 14934-2016）中规定，大肠菌群检测限量为“不得检出”。</w:t>
      </w:r>
    </w:p>
    <w:p>
      <w:pPr>
        <w:spacing w:line="360" w:lineRule="auto"/>
        <w:ind w:firstLine="640" w:firstLineChars="200"/>
        <w:jc w:val="left"/>
        <w:rPr>
          <w:rFonts w:ascii="仿宋_GB2312" w:hAnsi="Calibri" w:eastAsia="仿宋_GB2312" w:cs="Calibri"/>
          <w:sz w:val="32"/>
          <w:szCs w:val="21"/>
        </w:rPr>
      </w:pPr>
      <w:r>
        <w:rPr>
          <w:rFonts w:hint="eastAsia" w:ascii="仿宋_GB2312" w:hAnsi="Calibri" w:eastAsia="仿宋_GB2312" w:cs="Calibri"/>
          <w:sz w:val="32"/>
          <w:szCs w:val="21"/>
        </w:rPr>
        <w:t>消毒餐（饮）具中大肠菌群数超标的原因，可能是保洁柜清洗消毒不完善，也可能是产品受人员等污染，还可能是灭菌不彻底导致的。</w:t>
      </w:r>
    </w:p>
    <w:p>
      <w:pPr>
        <w:spacing w:line="360" w:lineRule="auto"/>
        <w:jc w:val="left"/>
        <w:rPr>
          <w:rFonts w:ascii="黑体" w:hAnsi="黑体" w:eastAsia="黑体" w:cs="黑体"/>
          <w:spacing w:val="-12"/>
          <w:sz w:val="32"/>
          <w:szCs w:val="32"/>
        </w:rPr>
      </w:pPr>
      <w:r>
        <w:rPr>
          <w:rFonts w:hint="eastAsia" w:ascii="黑体" w:hAnsi="黑体" w:eastAsia="黑体" w:cs="黑体"/>
          <w:spacing w:val="-12"/>
          <w:sz w:val="32"/>
          <w:szCs w:val="32"/>
        </w:rPr>
        <w:t>二、脱氢乙酸及其钠盐</w:t>
      </w:r>
    </w:p>
    <w:p>
      <w:pPr>
        <w:spacing w:line="360" w:lineRule="auto"/>
        <w:ind w:firstLine="640" w:firstLineChars="200"/>
        <w:jc w:val="left"/>
        <w:rPr>
          <w:rFonts w:hint="eastAsia" w:ascii="仿宋_GB2312" w:hAnsi="Calibri" w:eastAsia="仿宋_GB2312" w:cs="Calibri"/>
          <w:sz w:val="32"/>
          <w:szCs w:val="21"/>
        </w:rPr>
      </w:pPr>
      <w:r>
        <w:rPr>
          <w:rFonts w:hint="eastAsia" w:ascii="仿宋_GB2312" w:hAnsi="Calibri" w:eastAsia="仿宋_GB2312" w:cs="Calibri"/>
          <w:sz w:val="32"/>
          <w:szCs w:val="21"/>
        </w:rPr>
        <w:t>脱氢乙酸及其钠盐是一种广谱食品防腐剂，在酸、碱条件下均有一定的抗菌作用，可抑制细菌﹑酵母菌﹑霉菌等微生物的生长，尤其对霉菌的抑制作用最强。长期食用（饮用）脱氢乙酸超标的食物，可能对人体的健康造成损害。《食品安全国家标准 食品添加剂使用标准》（GB 2760-2014）中规定，脱氢乙酸及其钠盐在糕点中的最大使用量为0.5g/kg。</w:t>
      </w:r>
    </w:p>
    <w:p>
      <w:pPr>
        <w:spacing w:line="360" w:lineRule="auto"/>
        <w:ind w:firstLine="640" w:firstLineChars="200"/>
        <w:jc w:val="left"/>
        <w:rPr>
          <w:rFonts w:hint="eastAsia" w:ascii="仿宋_GB2312" w:hAnsi="Calibri" w:eastAsia="仿宋_GB2312" w:cs="Calibri"/>
          <w:sz w:val="32"/>
          <w:szCs w:val="21"/>
        </w:rPr>
      </w:pPr>
      <w:r>
        <w:rPr>
          <w:rFonts w:hint="eastAsia" w:ascii="仿宋_GB2312" w:hAnsi="Calibri" w:eastAsia="仿宋_GB2312" w:cs="Calibri"/>
          <w:sz w:val="32"/>
          <w:szCs w:val="21"/>
        </w:rPr>
        <w:t>脱氢乙酸超标的原因，可能是生产企业为延长产品保质期，或者弥补产品生产过程卫生条件不佳，违规（超范围）使用山梨酸及其钠盐，还可能是使用时不计量或计量不准确而导致。</w:t>
      </w:r>
    </w:p>
    <w:p>
      <w:pPr>
        <w:spacing w:line="600" w:lineRule="exact"/>
        <w:rPr>
          <w:rFonts w:hint="eastAsia" w:ascii="黑体" w:hAnsi="黑体" w:eastAsia="黑体" w:cs="黑体"/>
          <w:spacing w:val="-12"/>
          <w:sz w:val="32"/>
          <w:szCs w:val="32"/>
        </w:rPr>
      </w:pPr>
      <w:r>
        <w:rPr>
          <w:rFonts w:hint="eastAsia" w:ascii="黑体" w:hAnsi="黑体" w:eastAsia="黑体" w:cs="黑体"/>
          <w:spacing w:val="-12"/>
          <w:sz w:val="32"/>
          <w:szCs w:val="32"/>
          <w:lang w:eastAsia="zh-CN"/>
        </w:rPr>
        <w:t>三、</w:t>
      </w:r>
      <w:r>
        <w:rPr>
          <w:rFonts w:hint="eastAsia" w:ascii="黑体" w:hAnsi="黑体" w:eastAsia="黑体" w:cs="黑体"/>
          <w:spacing w:val="-12"/>
          <w:sz w:val="32"/>
          <w:szCs w:val="32"/>
        </w:rPr>
        <w:t>噻虫胺</w:t>
      </w:r>
    </w:p>
    <w:p>
      <w:pPr>
        <w:spacing w:line="360" w:lineRule="auto"/>
        <w:ind w:firstLine="420" w:firstLineChars="200"/>
        <w:jc w:val="left"/>
        <w:rPr>
          <w:rFonts w:hint="eastAsia" w:ascii="仿宋_GB2312" w:hAnsi="Calibri" w:eastAsia="仿宋_GB2312" w:cs="Calibri"/>
          <w:sz w:val="32"/>
          <w:szCs w:val="21"/>
        </w:rPr>
      </w:pPr>
      <w:r>
        <w:rPr>
          <w:rFonts w:hint="eastAsia"/>
          <w:color w:val="333333"/>
        </w:rPr>
        <w:t>　　</w:t>
      </w:r>
      <w:r>
        <w:rPr>
          <w:rFonts w:hint="eastAsia" w:ascii="仿宋_GB2312" w:hAnsi="Calibri" w:eastAsia="仿宋_GB2312" w:cs="Calibri"/>
          <w:sz w:val="32"/>
          <w:szCs w:val="21"/>
        </w:rPr>
        <w:t>噻虫胺属新烟碱类杀虫剂，具有内吸性、触杀和胃毒作用，对姜蛆等有较好防效。少量的残留不会引起人体急性中毒，但长期食用噻虫胺超标的食品，对人体健康可能有一定影响。《食品安全国家标准 食品中农药最大残留限量》（GB 2763—2019）中规定，噻虫胺在根茎类蔬菜中的最大残留限量值为0.2mg/kg。姜中噻虫胺残留量超标的原因，可能是为快速控制虫害，加大用药量或未遵守采摘间隔期规定，致使上市销售的产品中残留量超标。</w:t>
      </w:r>
    </w:p>
    <w:p>
      <w:pPr>
        <w:spacing w:line="600" w:lineRule="exact"/>
        <w:rPr>
          <w:rFonts w:hint="eastAsia" w:ascii="黑体" w:hAnsi="黑体" w:eastAsia="黑体" w:cs="黑体"/>
          <w:spacing w:val="-12"/>
          <w:sz w:val="32"/>
          <w:szCs w:val="32"/>
          <w:lang w:eastAsia="zh-CN"/>
        </w:rPr>
      </w:pPr>
      <w:r>
        <w:rPr>
          <w:rFonts w:hint="eastAsia" w:ascii="黑体" w:hAnsi="黑体" w:eastAsia="黑体" w:cs="黑体"/>
          <w:spacing w:val="-12"/>
          <w:sz w:val="32"/>
          <w:szCs w:val="32"/>
          <w:lang w:eastAsia="zh-CN"/>
        </w:rPr>
        <w:t>四、氯氟氰菊酯和高效氯氟氰菊酯</w:t>
      </w:r>
    </w:p>
    <w:p>
      <w:pPr>
        <w:pStyle w:val="4"/>
        <w:shd w:val="clear" w:color="auto" w:fill="FFFFFF"/>
        <w:spacing w:before="0" w:beforeAutospacing="0" w:after="0" w:afterAutospacing="0" w:line="585" w:lineRule="atLeast"/>
        <w:ind w:firstLine="640" w:firstLineChars="200"/>
        <w:rPr>
          <w:rFonts w:hint="eastAsia" w:ascii="仿宋_GB2312" w:hAnsi="Calibri" w:eastAsia="仿宋_GB2312" w:cs="Calibri"/>
          <w:kern w:val="2"/>
          <w:sz w:val="32"/>
          <w:szCs w:val="21"/>
          <w:lang w:val="en-US" w:eastAsia="zh-CN" w:bidi="ar-SA"/>
        </w:rPr>
      </w:pPr>
      <w:r>
        <w:rPr>
          <w:rFonts w:hint="eastAsia" w:ascii="仿宋_GB2312" w:hAnsi="Calibri" w:eastAsia="仿宋_GB2312" w:cs="Calibri"/>
          <w:kern w:val="2"/>
          <w:sz w:val="32"/>
          <w:szCs w:val="21"/>
          <w:lang w:val="en-US" w:eastAsia="zh-CN" w:bidi="ar-SA"/>
        </w:rPr>
        <w:t>氯氟氰菊酯和高效氯氟氰菊酯是一种活性较高的拟除虫菊酯类杀虫剂，可以被植株的茎、叶吸进植株体内，并可传送到植株各个部位，因此很容易造成农药残留。GB 2763-2021《食品安全国家标准食品中农药最大残留限量》中规定，氯氟氰菊酯和高效氯氟氰菊酯在芹菜中的最大残留限量应不超0.5mg/kg。长期食用农药残留超标的食品，对人体健康有一定影响。</w:t>
      </w:r>
    </w:p>
    <w:p>
      <w:pPr>
        <w:spacing w:line="600" w:lineRule="exact"/>
        <w:rPr>
          <w:rFonts w:hint="eastAsia" w:ascii="黑体" w:hAnsi="黑体" w:eastAsia="黑体" w:cs="黑体"/>
          <w:spacing w:val="-12"/>
          <w:sz w:val="32"/>
          <w:szCs w:val="32"/>
          <w:lang w:eastAsia="zh-CN"/>
        </w:rPr>
      </w:pPr>
      <w:r>
        <w:rPr>
          <w:rFonts w:hint="eastAsia" w:ascii="黑体" w:hAnsi="黑体" w:eastAsia="黑体" w:cs="黑体"/>
          <w:spacing w:val="-12"/>
          <w:sz w:val="32"/>
          <w:szCs w:val="32"/>
          <w:lang w:eastAsia="zh-CN"/>
        </w:rPr>
        <w:t>五、噻虫胺</w:t>
      </w:r>
    </w:p>
    <w:p>
      <w:pPr>
        <w:pStyle w:val="4"/>
        <w:shd w:val="clear" w:color="auto" w:fill="FFFFFF"/>
        <w:spacing w:before="0" w:beforeAutospacing="0" w:after="0" w:afterAutospacing="0" w:line="585" w:lineRule="atLeast"/>
        <w:ind w:firstLine="640" w:firstLineChars="200"/>
        <w:rPr>
          <w:rFonts w:hint="eastAsia" w:ascii="仿宋_GB2312" w:hAnsi="Calibri" w:eastAsia="仿宋_GB2312" w:cs="Calibri"/>
          <w:kern w:val="2"/>
          <w:sz w:val="32"/>
          <w:szCs w:val="21"/>
          <w:lang w:val="en-US" w:eastAsia="zh-CN" w:bidi="ar-SA"/>
        </w:rPr>
      </w:pPr>
      <w:r>
        <w:rPr>
          <w:rFonts w:hint="eastAsia" w:ascii="仿宋_GB2312" w:hAnsi="Calibri" w:eastAsia="仿宋_GB2312" w:cs="Calibri"/>
          <w:kern w:val="2"/>
          <w:sz w:val="32"/>
          <w:szCs w:val="21"/>
          <w:lang w:val="en-US" w:eastAsia="zh-CN" w:bidi="ar-SA"/>
        </w:rPr>
        <w:t>噻虫胺</w:t>
      </w:r>
      <w:bookmarkStart w:id="0" w:name="_GoBack"/>
      <w:bookmarkEnd w:id="0"/>
      <w:r>
        <w:rPr>
          <w:rFonts w:hint="eastAsia" w:ascii="仿宋_GB2312" w:hAnsi="Calibri" w:eastAsia="仿宋_GB2312" w:cs="Calibri"/>
          <w:kern w:val="2"/>
          <w:sz w:val="32"/>
          <w:szCs w:val="21"/>
          <w:lang w:val="en-US" w:eastAsia="zh-CN" w:bidi="ar-SA"/>
        </w:rPr>
        <w:t>具有根内吸活性和层间传导性。可通过土壤处 理、叶面喷施和种子处理来防治水稻、玉米、油菜、果树和蔬菜、柑橘的刺吸式和咀嚼式害虫。《食品安全国家标准 食品中农药最大残留限量》（GB 2763—2021）中规定，噻虫胺在辣椒中的限量值为0.05mg/kg。噻虫胺残留量超标的原因，可能是为快速控制虫害，加大用药量或未遵守采摘间隔期规定，致使上市销售的产品中残留量超标。少量的残留不会引起人体急性中毒，但长期食用噻虫胺超标的食品，可能对人体健康有一定的影响。</w:t>
      </w:r>
    </w:p>
    <w:p>
      <w:pPr>
        <w:spacing w:line="360" w:lineRule="auto"/>
        <w:ind w:firstLine="640" w:firstLineChars="200"/>
        <w:jc w:val="left"/>
        <w:rPr>
          <w:rFonts w:hint="eastAsia" w:ascii="仿宋_GB2312" w:hAnsi="Calibri" w:eastAsia="仿宋_GB2312" w:cs="Calibri"/>
          <w:sz w:val="32"/>
          <w:szCs w:val="21"/>
        </w:rPr>
      </w:pPr>
    </w:p>
    <w:p>
      <w:pPr>
        <w:spacing w:line="360" w:lineRule="auto"/>
        <w:ind w:firstLine="640" w:firstLineChars="200"/>
        <w:jc w:val="left"/>
        <w:rPr>
          <w:rFonts w:hint="eastAsia" w:ascii="仿宋_GB2312" w:hAnsi="Calibri" w:eastAsia="仿宋_GB2312" w:cs="Calibri"/>
          <w:sz w:val="32"/>
          <w:szCs w:val="21"/>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等线">
    <w:altName w:val="Arial Unicode MS"/>
    <w:panose1 w:val="00000000000000000000"/>
    <w:charset w:val="86"/>
    <w:family w:val="auto"/>
    <w:pitch w:val="default"/>
    <w:sig w:usb0="00000000" w:usb1="00000000" w:usb2="00000016" w:usb3="00000000" w:csb0="0004000F" w:csb1="00000000"/>
  </w:font>
  <w:font w:name="Arial Unicode MS">
    <w:panose1 w:val="020B0604020202020204"/>
    <w:charset w:val="86"/>
    <w:family w:val="auto"/>
    <w:pitch w:val="default"/>
    <w:sig w:usb0="FFFFFFFF" w:usb1="E9FFFFFF" w:usb2="0000003F" w:usb3="00000000" w:csb0="603F01FF" w:csb1="FFFF0000"/>
  </w:font>
  <w:font w:name="等线">
    <w:altName w:val="Arial Unicode MS"/>
    <w:panose1 w:val="00000000000000000000"/>
    <w:charset w:val="86"/>
    <w:family w:val="auto"/>
    <w:pitch w:val="default"/>
    <w:sig w:usb0="00000000" w:usb1="00000000" w:usb2="00000000" w:usb3="00000000" w:csb0="00000000" w:csb1="00000000"/>
  </w:font>
  <w:font w:name="等线">
    <w:altName w:val="Arial Unicode MS"/>
    <w:panose1 w:val="00000000000000000000"/>
    <w:charset w:val="00"/>
    <w:family w:val="auto"/>
    <w:pitch w:val="default"/>
    <w:sig w:usb0="00000000" w:usb1="00000000" w:usb2="00000000" w:usb3="00000000" w:csb0="00000000"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isplayBackgroundShape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VjMjlhM2E5OTMxZTJmMjMxN2VlOTBkZGY3ZmIzMTkifQ=="/>
  </w:docVars>
  <w:rsids>
    <w:rsidRoot w:val="00727AEF"/>
    <w:rsid w:val="00001772"/>
    <w:rsid w:val="0018159D"/>
    <w:rsid w:val="003025A8"/>
    <w:rsid w:val="004C3C1B"/>
    <w:rsid w:val="00550A72"/>
    <w:rsid w:val="005866AE"/>
    <w:rsid w:val="005868FB"/>
    <w:rsid w:val="005A4156"/>
    <w:rsid w:val="005E6592"/>
    <w:rsid w:val="00634A54"/>
    <w:rsid w:val="00676D58"/>
    <w:rsid w:val="0069074E"/>
    <w:rsid w:val="00707B15"/>
    <w:rsid w:val="00727AEF"/>
    <w:rsid w:val="007F739A"/>
    <w:rsid w:val="00871951"/>
    <w:rsid w:val="00886C4F"/>
    <w:rsid w:val="00997C00"/>
    <w:rsid w:val="00A26F87"/>
    <w:rsid w:val="00BD365D"/>
    <w:rsid w:val="00C56741"/>
    <w:rsid w:val="00C63458"/>
    <w:rsid w:val="00C77877"/>
    <w:rsid w:val="00D062F3"/>
    <w:rsid w:val="00D67E7D"/>
    <w:rsid w:val="00D70FB8"/>
    <w:rsid w:val="00ED33FF"/>
    <w:rsid w:val="00EF548E"/>
    <w:rsid w:val="00F44D52"/>
    <w:rsid w:val="00FD6872"/>
    <w:rsid w:val="200B08A4"/>
    <w:rsid w:val="26F86077"/>
    <w:rsid w:val="7B7B2C2C"/>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9"/>
    <w:unhideWhenUsed/>
    <w:qFormat/>
    <w:uiPriority w:val="99"/>
    <w:pPr>
      <w:tabs>
        <w:tab w:val="center" w:pos="4153"/>
        <w:tab w:val="right" w:pos="8306"/>
      </w:tabs>
      <w:snapToGrid w:val="0"/>
      <w:jc w:val="left"/>
    </w:pPr>
    <w:rPr>
      <w:sz w:val="18"/>
      <w:szCs w:val="18"/>
    </w:rPr>
  </w:style>
  <w:style w:type="paragraph" w:styleId="3">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7">
    <w:name w:val="Strong"/>
    <w:basedOn w:val="6"/>
    <w:qFormat/>
    <w:uiPriority w:val="22"/>
    <w:rPr>
      <w:b/>
      <w:bCs/>
    </w:rPr>
  </w:style>
  <w:style w:type="character" w:customStyle="1" w:styleId="8">
    <w:name w:val="页眉 Char"/>
    <w:basedOn w:val="6"/>
    <w:link w:val="3"/>
    <w:qFormat/>
    <w:uiPriority w:val="99"/>
    <w:rPr>
      <w:sz w:val="18"/>
      <w:szCs w:val="18"/>
    </w:rPr>
  </w:style>
  <w:style w:type="character" w:customStyle="1" w:styleId="9">
    <w:name w:val="页脚 Char"/>
    <w:basedOn w:val="6"/>
    <w:link w:val="2"/>
    <w:qFormat/>
    <w:uiPriority w:val="99"/>
    <w:rPr>
      <w:sz w:val="18"/>
      <w:szCs w:val="18"/>
    </w:rPr>
  </w:style>
  <w:style w:type="paragraph" w:styleId="10">
    <w:name w:val="List Paragraph"/>
    <w:basedOn w:val="1"/>
    <w:qFormat/>
    <w:uiPriority w:val="34"/>
    <w:pPr>
      <w:ind w:firstLine="420" w:firstLineChars="200"/>
    </w:pPr>
    <w:rPr>
      <w:rFonts w:ascii="Calibri" w:hAnsi="Calibri" w:eastAsia="宋体" w:cs="Calibri"/>
      <w:szCs w:val="21"/>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3</Pages>
  <Words>1058</Words>
  <Characters>1128</Characters>
  <Lines>3</Lines>
  <Paragraphs>1</Paragraphs>
  <TotalTime>1</TotalTime>
  <ScaleCrop>false</ScaleCrop>
  <LinksUpToDate>false</LinksUpToDate>
  <CharactersWithSpaces>1140</CharactersWithSpaces>
  <Application>WPS Office_11.1.0.12302_F1E327BC-269C-435d-A152-05C5408002CA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2022-07-04T08:35:00Z</dcterms:created>
  <dc:creator>Wang Xiaoying</dc:creator>
  <cp:lastModifiedBy>HP</cp:lastModifiedBy>
  <cp:lastPrinted>2019-09-17T08:40:00Z</cp:lastPrinted>
  <dcterms:modified xsi:type="dcterms:W3CDTF">2022-08-12T07:59:26Z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2052-11.1.0.12302</vt:lpwstr>
  </property>
  <property fmtid="{D5CDD505-2E9C-101B-9397-08002B2CF9AE}" pid="3" name="ICV">
    <vt:lpwstr>3AA936D3B59B4AE2B696AC2A9880DF7F</vt:lpwstr>
  </property>
</Properties>
</file>