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hint="eastAsia" w:ascii="宋体" w:hAnsi="宋体" w:eastAsia="宋体"/>
          <w:b/>
          <w:bCs/>
          <w:sz w:val="32"/>
          <w:szCs w:val="32"/>
        </w:rPr>
      </w:pPr>
    </w:p>
    <w:p>
      <w:pPr>
        <w:ind w:firstLine="0" w:firstLineChars="0"/>
        <w:jc w:val="center"/>
        <w:rPr>
          <w:rFonts w:hint="eastAsia" w:ascii="宋体" w:hAnsi="宋体" w:eastAsia="宋体"/>
          <w:b/>
          <w:bCs/>
          <w:sz w:val="32"/>
          <w:szCs w:val="32"/>
        </w:rPr>
      </w:pPr>
    </w:p>
    <w:p>
      <w:pPr>
        <w:ind w:firstLine="0" w:firstLineChars="0"/>
        <w:jc w:val="center"/>
        <w:rPr>
          <w:rFonts w:hint="eastAsia" w:ascii="宋体" w:hAnsi="宋体" w:eastAsia="宋体" w:cs="Times New Roman"/>
          <w:b/>
          <w:bCs/>
          <w:sz w:val="44"/>
          <w:szCs w:val="44"/>
        </w:rPr>
      </w:pPr>
      <w:r>
        <w:rPr>
          <w:rFonts w:hint="eastAsia" w:ascii="宋体" w:hAnsi="宋体" w:eastAsia="宋体"/>
          <w:b/>
          <w:bCs/>
          <w:sz w:val="44"/>
          <w:szCs w:val="44"/>
        </w:rPr>
        <w:t>2021年校外教育培训</w:t>
      </w:r>
      <w:r>
        <w:rPr>
          <w:rFonts w:hint="eastAsia" w:ascii="宋体" w:hAnsi="宋体" w:eastAsia="宋体" w:cs="Times New Roman"/>
          <w:b/>
          <w:bCs/>
          <w:sz w:val="44"/>
          <w:szCs w:val="44"/>
        </w:rPr>
        <w:t>领域</w:t>
      </w:r>
    </w:p>
    <w:p>
      <w:pPr>
        <w:ind w:firstLine="0" w:firstLineChars="0"/>
        <w:jc w:val="center"/>
        <w:rPr>
          <w:rFonts w:ascii="宋体" w:hAnsi="宋体" w:eastAsia="宋体" w:cs="Times New Roman"/>
          <w:b/>
          <w:bCs/>
          <w:sz w:val="44"/>
          <w:szCs w:val="44"/>
        </w:rPr>
      </w:pPr>
      <w:r>
        <w:rPr>
          <w:rFonts w:hint="eastAsia" w:ascii="宋体" w:hAnsi="宋体" w:eastAsia="宋体" w:cs="Times New Roman"/>
          <w:b/>
          <w:bCs/>
          <w:sz w:val="44"/>
          <w:szCs w:val="44"/>
        </w:rPr>
        <w:t>消费者权益保护报告</w:t>
      </w:r>
    </w:p>
    <w:p>
      <w:pPr>
        <w:ind w:firstLine="480"/>
      </w:pPr>
    </w:p>
    <w:p>
      <w:pPr>
        <w:ind w:firstLine="480"/>
        <w:rPr>
          <w:sz w:val="32"/>
          <w:szCs w:val="32"/>
        </w:rPr>
      </w:pPr>
      <w:r>
        <w:rPr>
          <w:rFonts w:hint="eastAsia"/>
          <w:sz w:val="32"/>
          <w:szCs w:val="32"/>
        </w:rPr>
        <w:t>加强校外教育培训领域消费者权益保护，营造良好的校外教育培训消费环境，既是我国校外教育培训行业健康发展的重要内容，更是满足人民群众日益增长的美好生活需要的根本要求。以《关于进一步减轻义务教育阶段学生作业负担和校外培训负担的意见》（以下简称《“双减”意见》）出台以及陆续推出的系列政策文件为标志，相关消费者权益保护问题受到日益重视，我国校外教育培训治理进入全面深化阶段。2</w:t>
      </w:r>
      <w:r>
        <w:rPr>
          <w:sz w:val="32"/>
          <w:szCs w:val="32"/>
        </w:rPr>
        <w:t>021</w:t>
      </w:r>
      <w:r>
        <w:rPr>
          <w:rFonts w:hint="eastAsia"/>
          <w:sz w:val="32"/>
          <w:szCs w:val="32"/>
        </w:rPr>
        <w:t>年，我国校外教育培训领域消费者权益保护在法律制度、政策依据等方面取得极大进展，广告宣传、合同纠纷、预收费监管等消费者权益保护的重点难点问题治理有章可循。但我国校外教育培训行业治理是一项巨大的系统工程，消费者权益保护仍面临虚假宣传、诱导消费、服务质量低、退费难等阶段性难题。未来一个阶段，要以校外教育培训行业规范发展为契机，积极推动校外教育培训领域消费者权益保护的法律建设、制度建设、组织建设、工作机制建设、消费环境建设，继续扎实推进校外教育培训领域消费者权益保护。</w:t>
      </w:r>
    </w:p>
    <w:p>
      <w:pPr>
        <w:pStyle w:val="2"/>
        <w:ind w:firstLine="562"/>
        <w:rPr>
          <w:sz w:val="32"/>
          <w:szCs w:val="32"/>
        </w:rPr>
      </w:pPr>
      <w:r>
        <w:rPr>
          <w:rFonts w:hint="eastAsia"/>
          <w:sz w:val="32"/>
          <w:szCs w:val="32"/>
        </w:rPr>
        <w:t>一、我国校外教育培训领域消费者权益保护的背景</w:t>
      </w:r>
    </w:p>
    <w:p>
      <w:pPr>
        <w:ind w:firstLine="480"/>
        <w:rPr>
          <w:sz w:val="32"/>
          <w:szCs w:val="32"/>
        </w:rPr>
      </w:pPr>
      <w:r>
        <w:rPr>
          <w:rFonts w:hint="eastAsia"/>
          <w:sz w:val="32"/>
          <w:szCs w:val="32"/>
        </w:rPr>
        <w:t>近年来，人民群众对教育培训的需求日趋旺盛，我国教育培训市场蓬勃发展。然而，虚假宣传、缺乏资质、价格欺诈等教育培训行业乱象不断，严重侵害了消费者合法权益。2</w:t>
      </w:r>
      <w:r>
        <w:rPr>
          <w:sz w:val="32"/>
          <w:szCs w:val="32"/>
        </w:rPr>
        <w:t>018</w:t>
      </w:r>
      <w:r>
        <w:rPr>
          <w:rFonts w:hint="eastAsia"/>
          <w:sz w:val="32"/>
          <w:szCs w:val="32"/>
        </w:rPr>
        <w:t>年以来我国相关部门频繁出台政策文件，规范教育培训行业发展，教育培训领域消费者权益保护工作受到日益重视。</w:t>
      </w:r>
    </w:p>
    <w:p>
      <w:pPr>
        <w:pStyle w:val="3"/>
        <w:rPr>
          <w:sz w:val="32"/>
          <w:szCs w:val="32"/>
        </w:rPr>
      </w:pPr>
      <w:r>
        <w:rPr>
          <w:rFonts w:hint="eastAsia"/>
          <w:sz w:val="32"/>
          <w:szCs w:val="32"/>
        </w:rPr>
        <w:t>（一）我国校外教育培训行业前景广阔</w:t>
      </w:r>
    </w:p>
    <w:p>
      <w:pPr>
        <w:ind w:firstLine="480"/>
        <w:rPr>
          <w:sz w:val="32"/>
          <w:szCs w:val="32"/>
        </w:rPr>
      </w:pPr>
      <w:r>
        <w:rPr>
          <w:rFonts w:hint="eastAsia"/>
          <w:sz w:val="32"/>
          <w:szCs w:val="32"/>
        </w:rPr>
        <w:t>从供给侧看，我国校外教育培训市场迅速发展。2014年—2</w:t>
      </w:r>
      <w:r>
        <w:rPr>
          <w:sz w:val="32"/>
          <w:szCs w:val="32"/>
        </w:rPr>
        <w:t>020</w:t>
      </w:r>
      <w:r>
        <w:rPr>
          <w:rFonts w:hint="eastAsia"/>
          <w:sz w:val="32"/>
          <w:szCs w:val="32"/>
        </w:rPr>
        <w:t>年（除2</w:t>
      </w:r>
      <w:r>
        <w:rPr>
          <w:sz w:val="32"/>
          <w:szCs w:val="32"/>
        </w:rPr>
        <w:t>018</w:t>
      </w:r>
      <w:r>
        <w:rPr>
          <w:rFonts w:hint="eastAsia"/>
          <w:sz w:val="32"/>
          <w:szCs w:val="32"/>
        </w:rPr>
        <w:t>年），我国校外教育培训当年新增企业数量增速均为正增长。2020年，我国校外教育培训行业新增企业数量已经达到了约6.5万家；2015—2019年，校外教育培训行业市场规模从1.67万亿增长至2.37万亿，其中在线教育市场规模从1,</w:t>
      </w:r>
      <w:r>
        <w:rPr>
          <w:sz w:val="32"/>
          <w:szCs w:val="32"/>
        </w:rPr>
        <w:t>460</w:t>
      </w:r>
      <w:r>
        <w:rPr>
          <w:rFonts w:hint="eastAsia"/>
          <w:sz w:val="32"/>
          <w:szCs w:val="32"/>
        </w:rPr>
        <w:t>亿元增加至3,</w:t>
      </w:r>
      <w:r>
        <w:rPr>
          <w:sz w:val="32"/>
          <w:szCs w:val="32"/>
        </w:rPr>
        <w:t>468</w:t>
      </w:r>
      <w:r>
        <w:rPr>
          <w:rFonts w:hint="eastAsia"/>
          <w:sz w:val="32"/>
          <w:szCs w:val="32"/>
        </w:rPr>
        <w:t>亿元，其比重从1</w:t>
      </w:r>
      <w:r>
        <w:rPr>
          <w:sz w:val="32"/>
          <w:szCs w:val="32"/>
        </w:rPr>
        <w:t>0</w:t>
      </w:r>
      <w:r>
        <w:rPr>
          <w:rFonts w:hint="eastAsia"/>
          <w:sz w:val="32"/>
          <w:szCs w:val="32"/>
        </w:rPr>
        <w:t>%上升到1</w:t>
      </w:r>
      <w:r>
        <w:rPr>
          <w:sz w:val="32"/>
          <w:szCs w:val="32"/>
        </w:rPr>
        <w:t>7</w:t>
      </w:r>
      <w:r>
        <w:rPr>
          <w:rFonts w:hint="eastAsia"/>
          <w:sz w:val="32"/>
          <w:szCs w:val="32"/>
        </w:rPr>
        <w:t>%</w:t>
      </w:r>
      <w:r>
        <w:rPr>
          <w:rStyle w:val="13"/>
          <w:sz w:val="32"/>
          <w:szCs w:val="32"/>
        </w:rPr>
        <w:footnoteReference w:id="0"/>
      </w:r>
      <w:r>
        <w:rPr>
          <w:rFonts w:hint="eastAsia"/>
          <w:sz w:val="32"/>
          <w:szCs w:val="32"/>
        </w:rPr>
        <w:t>。2</w:t>
      </w:r>
      <w:r>
        <w:rPr>
          <w:sz w:val="32"/>
          <w:szCs w:val="32"/>
        </w:rPr>
        <w:t>020</w:t>
      </w:r>
      <w:r>
        <w:rPr>
          <w:rFonts w:hint="eastAsia"/>
          <w:sz w:val="32"/>
          <w:szCs w:val="32"/>
        </w:rPr>
        <w:t>年校外教育培训行业市场规模小幅下降，为2</w:t>
      </w:r>
      <w:r>
        <w:rPr>
          <w:sz w:val="32"/>
          <w:szCs w:val="32"/>
        </w:rPr>
        <w:t>.06</w:t>
      </w:r>
      <w:r>
        <w:rPr>
          <w:rFonts w:hint="eastAsia"/>
          <w:sz w:val="32"/>
          <w:szCs w:val="32"/>
        </w:rPr>
        <w:t>万亿元，受疫情影响，在线教育渗透率上涨，2</w:t>
      </w:r>
      <w:r>
        <w:rPr>
          <w:sz w:val="32"/>
          <w:szCs w:val="32"/>
        </w:rPr>
        <w:t>020</w:t>
      </w:r>
      <w:r>
        <w:rPr>
          <w:rFonts w:hint="eastAsia"/>
          <w:sz w:val="32"/>
          <w:szCs w:val="32"/>
        </w:rPr>
        <w:t>年在线教育市场规模达到4,</w:t>
      </w:r>
      <w:r>
        <w:rPr>
          <w:sz w:val="32"/>
          <w:szCs w:val="32"/>
        </w:rPr>
        <w:t>536</w:t>
      </w:r>
      <w:r>
        <w:rPr>
          <w:rFonts w:hint="eastAsia"/>
          <w:sz w:val="32"/>
          <w:szCs w:val="32"/>
        </w:rPr>
        <w:t>亿元，其比重上升到</w:t>
      </w:r>
      <w:r>
        <w:rPr>
          <w:sz w:val="32"/>
          <w:szCs w:val="32"/>
        </w:rPr>
        <w:t>28</w:t>
      </w:r>
      <w:r>
        <w:rPr>
          <w:rFonts w:hint="eastAsia"/>
          <w:sz w:val="32"/>
          <w:szCs w:val="32"/>
        </w:rPr>
        <w:t>%。</w:t>
      </w:r>
    </w:p>
    <w:p>
      <w:pPr>
        <w:ind w:firstLine="480"/>
        <w:rPr>
          <w:sz w:val="32"/>
          <w:szCs w:val="32"/>
        </w:rPr>
      </w:pPr>
      <w:r>
        <w:rPr>
          <w:rFonts w:hint="eastAsia"/>
          <w:sz w:val="32"/>
          <w:szCs w:val="32"/>
        </w:rPr>
        <w:t>从需求侧看，全社会对校外教育培训的需求呈现快速增长态势，校外教育培训行业市场前景广阔。根据《中国经济生活大调查》统计，自2</w:t>
      </w:r>
      <w:r>
        <w:rPr>
          <w:sz w:val="32"/>
          <w:szCs w:val="32"/>
        </w:rPr>
        <w:t>013</w:t>
      </w:r>
      <w:r>
        <w:rPr>
          <w:rFonts w:hint="eastAsia"/>
          <w:sz w:val="32"/>
          <w:szCs w:val="32"/>
        </w:rPr>
        <w:t>年起居民在校外教育培训领域增加消费的意愿逐年上升，由2</w:t>
      </w:r>
      <w:r>
        <w:rPr>
          <w:sz w:val="32"/>
          <w:szCs w:val="32"/>
        </w:rPr>
        <w:t>013</w:t>
      </w:r>
      <w:r>
        <w:rPr>
          <w:rFonts w:hint="eastAsia"/>
          <w:sz w:val="32"/>
          <w:szCs w:val="32"/>
        </w:rPr>
        <w:t>年的</w:t>
      </w:r>
      <w:r>
        <w:rPr>
          <w:sz w:val="32"/>
          <w:szCs w:val="32"/>
        </w:rPr>
        <w:t>22.08</w:t>
      </w:r>
      <w:r>
        <w:rPr>
          <w:rFonts w:hint="eastAsia"/>
          <w:sz w:val="32"/>
          <w:szCs w:val="32"/>
        </w:rPr>
        <w:t>%提高到2</w:t>
      </w:r>
      <w:r>
        <w:rPr>
          <w:sz w:val="32"/>
          <w:szCs w:val="32"/>
        </w:rPr>
        <w:t>020</w:t>
      </w:r>
      <w:r>
        <w:rPr>
          <w:rFonts w:hint="eastAsia"/>
          <w:sz w:val="32"/>
          <w:szCs w:val="32"/>
        </w:rPr>
        <w:t>年的3</w:t>
      </w:r>
      <w:r>
        <w:rPr>
          <w:sz w:val="32"/>
          <w:szCs w:val="32"/>
        </w:rPr>
        <w:t>2.44</w:t>
      </w:r>
      <w:r>
        <w:rPr>
          <w:rFonts w:hint="eastAsia"/>
          <w:sz w:val="32"/>
          <w:szCs w:val="32"/>
        </w:rPr>
        <w:t>%，校外教育培训消费成为新的消费热点。一是随着人民收入水平的提高，居民对精神生活的追求更加多元，各个年龄段的人群都希望通过校外教育培训增加技能，充实生活。我国居民人均教育文化娱乐消费支出不断增加，由2</w:t>
      </w:r>
      <w:r>
        <w:rPr>
          <w:sz w:val="32"/>
          <w:szCs w:val="32"/>
        </w:rPr>
        <w:t>013</w:t>
      </w:r>
      <w:r>
        <w:rPr>
          <w:rFonts w:hint="eastAsia"/>
          <w:sz w:val="32"/>
          <w:szCs w:val="32"/>
        </w:rPr>
        <w:t>年的1,</w:t>
      </w:r>
      <w:r>
        <w:rPr>
          <w:sz w:val="32"/>
          <w:szCs w:val="32"/>
        </w:rPr>
        <w:t>398</w:t>
      </w:r>
      <w:r>
        <w:rPr>
          <w:rFonts w:hint="eastAsia"/>
          <w:sz w:val="32"/>
          <w:szCs w:val="32"/>
        </w:rPr>
        <w:t>元增加到2</w:t>
      </w:r>
      <w:r>
        <w:rPr>
          <w:sz w:val="32"/>
          <w:szCs w:val="32"/>
        </w:rPr>
        <w:t>020</w:t>
      </w:r>
      <w:r>
        <w:rPr>
          <w:rFonts w:hint="eastAsia"/>
          <w:sz w:val="32"/>
          <w:szCs w:val="32"/>
        </w:rPr>
        <w:t>年的2,</w:t>
      </w:r>
      <w:r>
        <w:rPr>
          <w:sz w:val="32"/>
          <w:szCs w:val="32"/>
        </w:rPr>
        <w:t>032</w:t>
      </w:r>
      <w:r>
        <w:rPr>
          <w:rFonts w:hint="eastAsia"/>
          <w:sz w:val="32"/>
          <w:szCs w:val="32"/>
        </w:rPr>
        <w:t>元</w:t>
      </w:r>
      <w:r>
        <w:rPr>
          <w:rStyle w:val="13"/>
          <w:sz w:val="32"/>
          <w:szCs w:val="32"/>
        </w:rPr>
        <w:footnoteReference w:id="1"/>
      </w:r>
      <w:r>
        <w:rPr>
          <w:rFonts w:hint="eastAsia"/>
          <w:sz w:val="32"/>
          <w:szCs w:val="32"/>
        </w:rPr>
        <w:t>。二是新时代知识技能更迭加速，就业竞争加剧，人们渴望通过校外教育培训加强自身建设，改善收入和生活状况。三是线上教育快速发展，校外教育培训变得更加便捷可得。</w:t>
      </w:r>
    </w:p>
    <w:p>
      <w:pPr>
        <w:ind w:firstLine="0" w:firstLineChars="0"/>
        <w:jc w:val="center"/>
      </w:pPr>
      <w:r>
        <w:drawing>
          <wp:inline distT="0" distB="0" distL="0" distR="0">
            <wp:extent cx="4961255" cy="2852420"/>
            <wp:effectExtent l="0" t="0" r="10795" b="5080"/>
            <wp:docPr id="1" name="图表 1" descr="7b0a202020202263686172745265734964223a2022343632353833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ind w:firstLine="0" w:firstLineChars="0"/>
        <w:jc w:val="center"/>
        <w:rPr>
          <w:b/>
        </w:rPr>
      </w:pPr>
      <w:r>
        <w:rPr>
          <w:rFonts w:hint="eastAsia"/>
          <w:b/>
        </w:rPr>
        <w:t>图1 我国居民校外教育培训消费意愿</w:t>
      </w:r>
    </w:p>
    <w:p>
      <w:pPr>
        <w:ind w:firstLine="0" w:firstLineChars="0"/>
      </w:pPr>
      <w:r>
        <w:rPr>
          <w:rFonts w:hint="eastAsia"/>
        </w:rPr>
        <w:t>资料来源：《中国经济社会大调查》</w:t>
      </w:r>
    </w:p>
    <w:p>
      <w:pPr>
        <w:pStyle w:val="3"/>
        <w:rPr>
          <w:sz w:val="32"/>
          <w:szCs w:val="32"/>
        </w:rPr>
      </w:pPr>
      <w:r>
        <w:rPr>
          <w:rFonts w:hint="eastAsia"/>
          <w:sz w:val="32"/>
          <w:szCs w:val="32"/>
        </w:rPr>
        <w:t>（二）我国校外教育培训行业进入规范发展阶段</w:t>
      </w:r>
    </w:p>
    <w:p>
      <w:pPr>
        <w:ind w:firstLine="480"/>
        <w:rPr>
          <w:sz w:val="32"/>
          <w:szCs w:val="32"/>
        </w:rPr>
      </w:pPr>
      <w:r>
        <w:rPr>
          <w:rFonts w:hint="eastAsia"/>
          <w:sz w:val="32"/>
          <w:szCs w:val="32"/>
        </w:rPr>
        <w:t>针对校外教育培训行业屡屡侵害消费者权益的问题，2</w:t>
      </w:r>
      <w:r>
        <w:rPr>
          <w:sz w:val="32"/>
          <w:szCs w:val="32"/>
        </w:rPr>
        <w:t>018</w:t>
      </w:r>
      <w:r>
        <w:rPr>
          <w:rFonts w:hint="eastAsia"/>
          <w:sz w:val="32"/>
          <w:szCs w:val="32"/>
        </w:rPr>
        <w:t>年起，教育部、市场监</w:t>
      </w:r>
      <w:r>
        <w:rPr>
          <w:rFonts w:hint="eastAsia"/>
          <w:sz w:val="32"/>
          <w:szCs w:val="32"/>
          <w:lang w:val="en-US" w:eastAsia="zh-CN"/>
        </w:rPr>
        <w:t>管</w:t>
      </w:r>
      <w:r>
        <w:rPr>
          <w:rFonts w:hint="eastAsia"/>
          <w:sz w:val="32"/>
          <w:szCs w:val="32"/>
        </w:rPr>
        <w:t>总局等相关部门频繁出台相关文件，监管规范校外教育培训行业的行为，有关部门有针对性</w:t>
      </w:r>
      <w:r>
        <w:rPr>
          <w:rFonts w:hint="eastAsia"/>
          <w:sz w:val="32"/>
          <w:szCs w:val="32"/>
          <w:lang w:val="en-US" w:eastAsia="zh-CN"/>
        </w:rPr>
        <w:t>地</w:t>
      </w:r>
      <w:r>
        <w:rPr>
          <w:rFonts w:hint="eastAsia"/>
          <w:sz w:val="32"/>
          <w:szCs w:val="32"/>
        </w:rPr>
        <w:t>开展专项整治行动。2</w:t>
      </w:r>
      <w:r>
        <w:rPr>
          <w:sz w:val="32"/>
          <w:szCs w:val="32"/>
        </w:rPr>
        <w:t>021</w:t>
      </w:r>
      <w:r>
        <w:rPr>
          <w:rFonts w:hint="eastAsia"/>
          <w:sz w:val="32"/>
          <w:szCs w:val="32"/>
        </w:rPr>
        <w:t>年7月，国务院办公厅印发《“双减”意见》，为规范校外教育培训行为提出了全面指导意见，包括机构审批、培训服务、运营监管等方面，标志着我国校外教育培训的重大变革。</w:t>
      </w:r>
    </w:p>
    <w:p>
      <w:pPr>
        <w:ind w:firstLine="480"/>
        <w:rPr>
          <w:sz w:val="32"/>
          <w:szCs w:val="32"/>
        </w:rPr>
      </w:pPr>
      <w:r>
        <w:rPr>
          <w:rFonts w:hint="eastAsia"/>
          <w:sz w:val="32"/>
          <w:szCs w:val="32"/>
        </w:rPr>
        <w:t>从整个宏观背景看，我国将全面加强行业监管，校外教育培训行业进入常态化监管阶段。随着我国经济社会发展进入新阶段，对国家治理体系和治理能力现代化提出新的要求，国家治理理念进行了调整。新发展阶段要求统筹安全与发展，更加注重安全发展；坚持包容审慎监管，更加重视对新业态的审慎；兼顾效率和公平，更加重视公平。加强行业监管，贯彻落实新的治理理念，推进市场治理体系和治理能力现代化，强化消费者权益保护，是完善社会主义市场经济体制的重要内容。</w:t>
      </w:r>
    </w:p>
    <w:p>
      <w:pPr>
        <w:ind w:firstLine="480"/>
        <w:rPr>
          <w:sz w:val="32"/>
          <w:szCs w:val="32"/>
        </w:rPr>
      </w:pPr>
      <w:r>
        <w:rPr>
          <w:rFonts w:hint="eastAsia"/>
          <w:sz w:val="32"/>
          <w:szCs w:val="32"/>
        </w:rPr>
        <w:t>从教育培训行业自身看，随着校外教育培训行业规范治理的不断深入，以及校外教育培训行业的转型发展，校外教育培训领域消费者权益保护将面临新问题。一是我国教育改革进入深水期，密集出台的政策将引导校外教育培训行业重新洗牌，在行业洗牌过程中一方面学科类培训机构或停业或转型，但善后处理不力，甚或“卷钱跑路”，另一方面有些受新冠疫情影响，经营不善的非学科类培训机构假借政策因素趁机“甩锅”“金蝉脱壳”，导致部分消费者面临“上课难”“退费难”等问题，侵害了消费者合法权益。二是新冠疫情以来，校外教育培训行业加快线上布局，消费者权益保护涉及到线上培训机构资质认证、培训质量合理评估、培训课程开放性设置、消费者信息保护等新问题。三是在线校外教育培训与其他行业融合发展带来新问题，如捆绑销售、教育贷监管、线上课程隐藏网络游戏等。</w:t>
      </w:r>
    </w:p>
    <w:p>
      <w:pPr>
        <w:ind w:firstLine="480"/>
        <w:rPr>
          <w:sz w:val="32"/>
          <w:szCs w:val="32"/>
        </w:rPr>
      </w:pPr>
      <w:r>
        <w:rPr>
          <w:rFonts w:hint="eastAsia"/>
          <w:sz w:val="32"/>
          <w:szCs w:val="32"/>
        </w:rPr>
        <w:t>我国校外教育培训行业规范不断完善，校外教育培训领域消费者权益保护问题日益受到重视，但与经济社会发展的要求和人民群众的期望相比，仍有较大差距。</w:t>
      </w:r>
    </w:p>
    <w:p>
      <w:pPr>
        <w:ind w:firstLine="480"/>
        <w:rPr>
          <w:sz w:val="32"/>
          <w:szCs w:val="32"/>
        </w:rPr>
      </w:pPr>
    </w:p>
    <w:p>
      <w:pPr>
        <w:pStyle w:val="2"/>
        <w:ind w:firstLine="562"/>
        <w:rPr>
          <w:sz w:val="32"/>
          <w:szCs w:val="32"/>
        </w:rPr>
      </w:pPr>
      <w:r>
        <w:rPr>
          <w:rFonts w:hint="eastAsia"/>
          <w:sz w:val="32"/>
          <w:szCs w:val="32"/>
        </w:rPr>
        <w:t>二、我国校外教育培训领域消费者权益保护工作进展</w:t>
      </w:r>
    </w:p>
    <w:p>
      <w:pPr>
        <w:ind w:firstLine="480"/>
        <w:rPr>
          <w:sz w:val="32"/>
          <w:szCs w:val="32"/>
        </w:rPr>
      </w:pPr>
      <w:r>
        <w:rPr>
          <w:rFonts w:hint="eastAsia"/>
          <w:sz w:val="32"/>
          <w:szCs w:val="32"/>
        </w:rPr>
        <w:t>2021年我国校外教育培训领域消费者权益保护工作取得显著成效。相关部门在法律制度、政策体系、监管机制和平台等方面积极开展工作，提升了校外教育培训领域消费者权益保护工作的法治性、系统性、高效性、长效性。</w:t>
      </w:r>
    </w:p>
    <w:p>
      <w:pPr>
        <w:pStyle w:val="3"/>
        <w:rPr>
          <w:sz w:val="32"/>
          <w:szCs w:val="32"/>
        </w:rPr>
      </w:pPr>
      <w:r>
        <w:rPr>
          <w:rFonts w:hint="eastAsia"/>
          <w:sz w:val="32"/>
          <w:szCs w:val="32"/>
        </w:rPr>
        <w:t>（一）完善法律制度，夯实法理基础</w:t>
      </w:r>
    </w:p>
    <w:p>
      <w:pPr>
        <w:ind w:firstLine="480"/>
        <w:rPr>
          <w:sz w:val="32"/>
          <w:szCs w:val="32"/>
          <w:shd w:val="clear" w:color="auto" w:fill="FFFFFF"/>
        </w:rPr>
      </w:pPr>
      <w:r>
        <w:rPr>
          <w:rFonts w:hint="eastAsia"/>
          <w:sz w:val="32"/>
          <w:szCs w:val="32"/>
          <w:shd w:val="clear" w:color="auto" w:fill="FFFFFF"/>
        </w:rPr>
        <w:t>2</w:t>
      </w:r>
      <w:r>
        <w:rPr>
          <w:sz w:val="32"/>
          <w:szCs w:val="32"/>
          <w:shd w:val="clear" w:color="auto" w:fill="FFFFFF"/>
        </w:rPr>
        <w:t>021</w:t>
      </w:r>
      <w:r>
        <w:rPr>
          <w:rFonts w:hint="eastAsia"/>
          <w:sz w:val="32"/>
          <w:szCs w:val="32"/>
          <w:shd w:val="clear" w:color="auto" w:fill="FFFFFF"/>
        </w:rPr>
        <w:t>年，新修订的《中华人民共和国民办教育促进法实施条例》（简称《实施条例》）、《中华人民共和国未成年人保护法》（简称《未成年人保护法》）正式施行，进一步完善了规范校外教育培训机构发展的法律制度体系，为维护校外教育培训领域消费者权益保护夯实了法理基础。</w:t>
      </w:r>
    </w:p>
    <w:p>
      <w:pPr>
        <w:ind w:firstLine="480"/>
        <w:rPr>
          <w:sz w:val="32"/>
          <w:szCs w:val="32"/>
        </w:rPr>
      </w:pPr>
      <w:r>
        <w:rPr>
          <w:rFonts w:hint="eastAsia"/>
          <w:sz w:val="32"/>
          <w:szCs w:val="32"/>
        </w:rPr>
        <w:t>其中，《实施条例》明确规定了民办学校举办者的权利义务和在审批、设立等各环节的要求，《实施条例》是规范我国校外教育培训机构的基础性法律，为保护校外教育培训领域消费者权益提供了法律依据。《实施条例》对民办学校（含校外教育培训机构）的收费、管理、监督、支持等方面行为做出规范，如该条例第42条规定“民办学校应当建立办学成本核算制度……合理确定收费项目和标准。”第44条规定：“非营利性民办学校收取费用、开展活动的资金往来，应当使用在有关主管部门备案的账户。有关主管部门应当对该账户实施监督……”</w:t>
      </w:r>
    </w:p>
    <w:p>
      <w:pPr>
        <w:ind w:firstLine="480"/>
        <w:rPr>
          <w:sz w:val="32"/>
          <w:szCs w:val="32"/>
        </w:rPr>
      </w:pPr>
      <w:r>
        <w:rPr>
          <w:rFonts w:hint="eastAsia"/>
          <w:sz w:val="32"/>
          <w:szCs w:val="32"/>
        </w:rPr>
        <w:t>《未成年人保护法》则直接涉及校外教育培训机构保护未成年人权益，是目前校外教育培训机构整治所依据的最高层级的法律之一。《未成年人保护法》对校外教育培训机构进行了相关规定，如校外培训机构不得对学龄前未成年人进行小学课程教育；以未成年人为服务对象的在线教育网络产品和服务，不得插入网络游戏链接，不得推送广告等与教学无关的信息等。</w:t>
      </w:r>
    </w:p>
    <w:p>
      <w:pPr>
        <w:pStyle w:val="3"/>
        <w:rPr>
          <w:sz w:val="32"/>
          <w:szCs w:val="32"/>
        </w:rPr>
      </w:pPr>
      <w:r>
        <w:rPr>
          <w:rFonts w:hint="eastAsia"/>
          <w:sz w:val="32"/>
          <w:szCs w:val="32"/>
        </w:rPr>
        <w:t>（二）持续完善政策体系，全面规范行业发展</w:t>
      </w:r>
    </w:p>
    <w:p>
      <w:pPr>
        <w:ind w:firstLine="480"/>
        <w:rPr>
          <w:sz w:val="32"/>
          <w:szCs w:val="32"/>
        </w:rPr>
      </w:pPr>
      <w:r>
        <w:rPr>
          <w:rFonts w:hint="eastAsia"/>
          <w:sz w:val="32"/>
          <w:szCs w:val="32"/>
        </w:rPr>
        <w:t>2</w:t>
      </w:r>
      <w:r>
        <w:rPr>
          <w:sz w:val="32"/>
          <w:szCs w:val="32"/>
        </w:rPr>
        <w:t>021</w:t>
      </w:r>
      <w:r>
        <w:rPr>
          <w:rFonts w:hint="eastAsia"/>
          <w:sz w:val="32"/>
          <w:szCs w:val="32"/>
        </w:rPr>
        <w:t>年，教育部单独或会同发改委、公安部、民政部、人社部、市场监管总局、体育总局、银保监会、证监会等部门密集出台校外教育培训行业规范发展的相关办法和监管措施，为规范教育培训行业发展提供政策供给和操作指导，实现全覆盖、全链条治理，基本建立起了“1+N”政策制度体系。</w:t>
      </w:r>
    </w:p>
    <w:p>
      <w:pPr>
        <w:ind w:firstLine="480"/>
        <w:rPr>
          <w:sz w:val="32"/>
          <w:szCs w:val="32"/>
        </w:rPr>
      </w:pPr>
      <w:r>
        <w:rPr>
          <w:rFonts w:hint="eastAsia"/>
          <w:sz w:val="32"/>
          <w:szCs w:val="32"/>
        </w:rPr>
        <w:t>7月2</w:t>
      </w:r>
      <w:r>
        <w:rPr>
          <w:sz w:val="32"/>
          <w:szCs w:val="32"/>
        </w:rPr>
        <w:t>3</w:t>
      </w:r>
      <w:r>
        <w:rPr>
          <w:rFonts w:hint="eastAsia"/>
          <w:sz w:val="32"/>
          <w:szCs w:val="32"/>
        </w:rPr>
        <w:t>日，中共中央办公厅、国务院办公厅出台《“双减”意见》，为强化线上线下校外教育培训机构规范管理提供了重要遵循。《“双减”意见》明确提出，要深化校外机构治理，坚决防止侵害群众利益行为。《“双减”意见》要求，一是从严审批机构，不再审批新的面向义务教育就按学生的学科类校外培训机构，现有学科类培训机构统一登记为非营利性机构。二是规范培训服务行为，严禁超标超前培训，禁止跨范围经营，严禁提供境外教育课程，查处超范围培训、培训质量良莠不齐、内容低俗违法、盗版侵权等突出问题，不得利用假期进行培训，完善收费制度，签订统一合同，不得侵犯家长和学生的正当权益。三是强化常态运营监管，禁止为推销业务以虚构原价、虚假折扣、虚假宣传等方式进行不正当竞争，依法依规坚决查处行业垄断行为。线上培训要注重保护学生视力，每课时不超过30分钟，课程间隔不少于10分钟，培训结束时间不晚于21点，线上培训机构不得提供和传播“拍照搜题”等不良学习方法。</w:t>
      </w:r>
    </w:p>
    <w:p>
      <w:pPr>
        <w:ind w:firstLine="480"/>
        <w:rPr>
          <w:sz w:val="32"/>
          <w:szCs w:val="32"/>
        </w:rPr>
      </w:pPr>
      <w:r>
        <w:rPr>
          <w:rFonts w:hint="eastAsia"/>
          <w:sz w:val="32"/>
          <w:szCs w:val="32"/>
        </w:rPr>
        <w:t>围绕做好治理校外教育培训工作，切实落实《“双减”意见》，教育部、市场监管总局等有关部门陆续出台相关办法和监管措施，并开展市场整顿行动（见表1）。这些配套政策有力地促进了《“双减”意见》落地，加强校外教育培训机构的源头治理、系统治理、综合治理、依法治理。其中，《关于进一步加强中小学生睡眠管理工作的通知》《关于加强义务教育学校作业管理的通知》先于《“双减”意见》出台，规定校外培训机构培训结束时间不得晚于20:30，不得以任何形式布置作业，是《“双减”意见》的内容之一。其后，为切实有效推进《“双减”意见》落实，《关于将面向义务教育阶段学生的学科类校外培训机构统一登记为非营利性机构的通知》就校外培训机构“营改非”工作，优化登记工作流程、加快推进工作进度进行部署，为做好义务教育阶段学科类培训实行政府指导价收费政策落地、提高培训机构违规上市清理整治工作效率、严格控制资本过度涌入培训机构工作打下坚实基础。《中小学生校外培训材料管理办法（试行）》健全了校外教育机构培训材料编写、审查、监管的一系列基本制度，形成了完整的培训材料质量标准、培训材料编写制度、培训材料管理制度。《校外培训机构从业人员管理办法（试行）》对校外培训机构从业人员的招用、解聘、检查和监督等环节作出明确规定。《义务教育阶段校外培训项目分类鉴别指南》从培训目的、培训内容、培训方式、评价方式等维度进行综合考量、科学鉴别，加强对义务教育阶段校外培训机构“学科类”项目鉴别管理，加强对地方工作的指导。</w:t>
      </w:r>
    </w:p>
    <w:p>
      <w:pPr>
        <w:ind w:firstLine="480"/>
        <w:rPr>
          <w:sz w:val="32"/>
          <w:szCs w:val="32"/>
        </w:rPr>
      </w:pPr>
      <w:r>
        <w:rPr>
          <w:rFonts w:hint="eastAsia"/>
          <w:sz w:val="32"/>
          <w:szCs w:val="32"/>
        </w:rPr>
        <w:t>《“双减”意见》出台后，各地大力推进校外培训治理，取得初步成效，但一些地方培训机构由“地上”转入“地下”，改头换面变相违规开展学科类校外教育培训，严重干扰政策执行，给改革推进造成阻碍。9月1</w:t>
      </w:r>
      <w:r>
        <w:rPr>
          <w:sz w:val="32"/>
          <w:szCs w:val="32"/>
        </w:rPr>
        <w:t>6</w:t>
      </w:r>
      <w:r>
        <w:rPr>
          <w:rFonts w:hint="eastAsia"/>
          <w:sz w:val="32"/>
          <w:szCs w:val="32"/>
        </w:rPr>
        <w:t>日，教育部印发《关于坚决查处变相违规开展学科类校外培训问题的通知》，要求各地对以“高端家政”“一对一”“众筹私教”“游学研学”等名义违规开展学科类培训、“直播转录播”、组织异地培训等七种隐形变异问题进行坚决查处，推动校外培训机构治理落地见效。</w:t>
      </w:r>
    </w:p>
    <w:p>
      <w:pPr>
        <w:pStyle w:val="3"/>
        <w:rPr>
          <w:sz w:val="32"/>
          <w:szCs w:val="32"/>
        </w:rPr>
      </w:pPr>
      <w:r>
        <w:rPr>
          <w:rFonts w:hint="eastAsia"/>
          <w:sz w:val="32"/>
          <w:szCs w:val="32"/>
        </w:rPr>
        <w:t>（三）增设监管机构和平台，不断健全工作机制</w:t>
      </w:r>
    </w:p>
    <w:p>
      <w:pPr>
        <w:ind w:firstLine="480"/>
        <w:rPr>
          <w:sz w:val="32"/>
          <w:szCs w:val="32"/>
          <w:shd w:val="clear" w:color="auto" w:fill="FFFFFF"/>
        </w:rPr>
      </w:pPr>
      <w:r>
        <w:rPr>
          <w:rFonts w:hint="eastAsia"/>
          <w:sz w:val="32"/>
          <w:szCs w:val="32"/>
          <w:shd w:val="clear" w:color="auto" w:fill="FFFFFF"/>
        </w:rPr>
        <w:t>2021年6月，经中央编委批准，教育部成立专门的校外教育培训监管司，面向中小学生（含幼儿园儿童）的校外教育培训管理工作，指导校外教育培训机构党的建设。这一机构增设对于深化校外教育培训改革具有重大意义。校外教育培训监管司的成立，有利于制定专项管理政策、实行过程性监管、综合推进治理措施，有利于将各方监管力量拧成一股绳，充分体现了党中央</w:t>
      </w:r>
      <w:r>
        <w:rPr>
          <w:rFonts w:hint="eastAsia"/>
          <w:sz w:val="32"/>
          <w:szCs w:val="32"/>
          <w:shd w:val="clear" w:color="auto" w:fill="FFFFFF"/>
          <w:lang w:eastAsia="zh-CN"/>
        </w:rPr>
        <w:t>、</w:t>
      </w:r>
      <w:r>
        <w:rPr>
          <w:rFonts w:hint="eastAsia"/>
          <w:sz w:val="32"/>
          <w:szCs w:val="32"/>
          <w:shd w:val="clear" w:color="auto" w:fill="FFFFFF"/>
          <w:lang w:val="en-US" w:eastAsia="zh-CN"/>
        </w:rPr>
        <w:t>国务院</w:t>
      </w:r>
      <w:r>
        <w:rPr>
          <w:rFonts w:hint="eastAsia"/>
          <w:sz w:val="32"/>
          <w:szCs w:val="32"/>
          <w:shd w:val="clear" w:color="auto" w:fill="FFFFFF"/>
        </w:rPr>
        <w:t>对校外教育培训监管工作的高度重视，传递出解决校外教育培训机构监管难的决心，为治理校外教育培训综合施策提供了有效抓手</w:t>
      </w:r>
      <w:r>
        <w:rPr>
          <w:rStyle w:val="13"/>
          <w:sz w:val="32"/>
          <w:szCs w:val="32"/>
          <w:shd w:val="clear" w:color="auto" w:fill="FFFFFF"/>
        </w:rPr>
        <w:footnoteReference w:id="2"/>
      </w:r>
      <w:r>
        <w:rPr>
          <w:rFonts w:hint="eastAsia"/>
          <w:sz w:val="32"/>
          <w:szCs w:val="32"/>
          <w:shd w:val="clear" w:color="auto" w:fill="FFFFFF"/>
        </w:rPr>
        <w:t>。</w:t>
      </w:r>
    </w:p>
    <w:p>
      <w:pPr>
        <w:ind w:firstLine="480"/>
        <w:rPr>
          <w:sz w:val="32"/>
          <w:szCs w:val="32"/>
          <w:shd w:val="clear" w:color="auto" w:fill="FFFFFF"/>
        </w:rPr>
      </w:pPr>
      <w:r>
        <w:rPr>
          <w:rFonts w:hint="eastAsia"/>
          <w:sz w:val="32"/>
          <w:szCs w:val="32"/>
          <w:shd w:val="clear" w:color="auto" w:fill="FFFFFF"/>
        </w:rPr>
        <w:t>在加强监管机构建设的同时，相关监管工作机制也不断健全。一是加强部门协同，教育部牵头建立由发改委、公安部、人社部、市场监管总局等19个部门组成的“双减”工作专门协调机制。实现上下同频，建立“双减”工作台账、信息日报和定期调度制度，督促各地成立专门机构，形成党委统一领导、部门齐抓共管的工作格局</w:t>
      </w:r>
      <w:r>
        <w:rPr>
          <w:rStyle w:val="13"/>
          <w:sz w:val="32"/>
          <w:szCs w:val="32"/>
          <w:shd w:val="clear" w:color="auto" w:fill="FFFFFF"/>
        </w:rPr>
        <w:footnoteReference w:id="3"/>
      </w:r>
      <w:r>
        <w:rPr>
          <w:rFonts w:hint="eastAsia"/>
          <w:sz w:val="32"/>
          <w:szCs w:val="32"/>
          <w:shd w:val="clear" w:color="auto" w:fill="FFFFFF"/>
        </w:rPr>
        <w:t>。</w:t>
      </w:r>
    </w:p>
    <w:p>
      <w:pPr>
        <w:ind w:firstLine="480"/>
        <w:rPr>
          <w:sz w:val="32"/>
          <w:szCs w:val="32"/>
          <w:shd w:val="clear" w:color="auto" w:fill="FFFFFF"/>
        </w:rPr>
      </w:pPr>
      <w:r>
        <w:rPr>
          <w:rFonts w:hint="eastAsia"/>
          <w:sz w:val="32"/>
          <w:szCs w:val="32"/>
          <w:shd w:val="clear" w:color="auto" w:fill="FFFFFF"/>
        </w:rPr>
        <w:t>二是健全全国校外培训监管服务平台，国务院教育督导委员会办公室（以下简称“教督委”）在教育部官网设“曝光台”，通报典型违规案例强化社会监督。教育部</w:t>
      </w:r>
      <w:r>
        <w:rPr>
          <w:sz w:val="32"/>
          <w:szCs w:val="32"/>
          <w:shd w:val="clear" w:color="auto" w:fill="FFFFFF"/>
        </w:rPr>
        <w:t>在</w:t>
      </w:r>
      <w:r>
        <w:rPr>
          <w:rFonts w:hint="eastAsia"/>
          <w:sz w:val="32"/>
          <w:szCs w:val="32"/>
          <w:shd w:val="clear" w:color="auto" w:fill="FFFFFF"/>
        </w:rPr>
        <w:t>“微言教育”“</w:t>
      </w:r>
      <w:r>
        <w:rPr>
          <w:sz w:val="32"/>
          <w:szCs w:val="32"/>
          <w:shd w:val="clear" w:color="auto" w:fill="FFFFFF"/>
        </w:rPr>
        <w:t>中国教育督导</w:t>
      </w:r>
      <w:r>
        <w:rPr>
          <w:rFonts w:hint="eastAsia"/>
          <w:sz w:val="32"/>
          <w:szCs w:val="32"/>
          <w:shd w:val="clear" w:color="auto" w:fill="FFFFFF"/>
        </w:rPr>
        <w:t>”</w:t>
      </w:r>
      <w:r>
        <w:rPr>
          <w:sz w:val="32"/>
          <w:szCs w:val="32"/>
          <w:shd w:val="clear" w:color="auto" w:fill="FFFFFF"/>
        </w:rPr>
        <w:t>微信公众号和</w:t>
      </w:r>
      <w:r>
        <w:rPr>
          <w:rFonts w:hint="eastAsia"/>
          <w:sz w:val="32"/>
          <w:szCs w:val="32"/>
          <w:shd w:val="clear" w:color="auto" w:fill="FFFFFF"/>
        </w:rPr>
        <w:t>“</w:t>
      </w:r>
      <w:r>
        <w:rPr>
          <w:sz w:val="32"/>
          <w:szCs w:val="32"/>
          <w:shd w:val="clear" w:color="auto" w:fill="FFFFFF"/>
        </w:rPr>
        <w:t>中国教育发布</w:t>
      </w:r>
      <w:r>
        <w:rPr>
          <w:rFonts w:hint="eastAsia"/>
          <w:sz w:val="32"/>
          <w:szCs w:val="32"/>
          <w:shd w:val="clear" w:color="auto" w:fill="FFFFFF"/>
        </w:rPr>
        <w:t>”</w:t>
      </w:r>
      <w:r>
        <w:rPr>
          <w:sz w:val="32"/>
          <w:szCs w:val="32"/>
          <w:shd w:val="clear" w:color="auto" w:fill="FFFFFF"/>
        </w:rPr>
        <w:t>客户端开设举报专栏，受理群众对学生作业负担重、学校未依规开展课后服务和校外培训机构无证照培训、虚假宣传、超标超前培训、超期预收费、违规高收费、退费难等问题的实名举报</w:t>
      </w:r>
      <w:r>
        <w:rPr>
          <w:rFonts w:hint="eastAsia"/>
          <w:sz w:val="32"/>
          <w:szCs w:val="32"/>
          <w:shd w:val="clear" w:color="auto" w:fill="FFFFFF"/>
        </w:rPr>
        <w:t>，8月份</w:t>
      </w:r>
      <w:r>
        <w:rPr>
          <w:sz w:val="32"/>
          <w:szCs w:val="32"/>
          <w:shd w:val="clear" w:color="auto" w:fill="FFFFFF"/>
        </w:rPr>
        <w:t>共接到8</w:t>
      </w:r>
      <w:r>
        <w:rPr>
          <w:rFonts w:hint="eastAsia"/>
          <w:sz w:val="32"/>
          <w:szCs w:val="32"/>
          <w:shd w:val="clear" w:color="auto" w:fill="FFFFFF"/>
        </w:rPr>
        <w:t>,</w:t>
      </w:r>
      <w:r>
        <w:rPr>
          <w:sz w:val="32"/>
          <w:szCs w:val="32"/>
          <w:shd w:val="clear" w:color="auto" w:fill="FFFFFF"/>
        </w:rPr>
        <w:t>000多条</w:t>
      </w:r>
      <w:r>
        <w:rPr>
          <w:rFonts w:hint="eastAsia"/>
          <w:sz w:val="32"/>
          <w:szCs w:val="32"/>
          <w:shd w:val="clear" w:color="auto" w:fill="FFFFFF"/>
        </w:rPr>
        <w:t>有效举报线索，1</w:t>
      </w:r>
      <w:r>
        <w:rPr>
          <w:sz w:val="32"/>
          <w:szCs w:val="32"/>
          <w:shd w:val="clear" w:color="auto" w:fill="FFFFFF"/>
        </w:rPr>
        <w:t>1</w:t>
      </w:r>
      <w:r>
        <w:rPr>
          <w:rFonts w:hint="eastAsia"/>
          <w:sz w:val="32"/>
          <w:szCs w:val="32"/>
          <w:shd w:val="clear" w:color="auto" w:fill="FFFFFF"/>
        </w:rPr>
        <w:t>月份共收到举报线索4,</w:t>
      </w:r>
      <w:r>
        <w:rPr>
          <w:sz w:val="32"/>
          <w:szCs w:val="32"/>
          <w:shd w:val="clear" w:color="auto" w:fill="FFFFFF"/>
        </w:rPr>
        <w:t>280</w:t>
      </w:r>
      <w:r>
        <w:rPr>
          <w:rFonts w:hint="eastAsia"/>
          <w:sz w:val="32"/>
          <w:szCs w:val="32"/>
          <w:shd w:val="clear" w:color="auto" w:fill="FFFFFF"/>
        </w:rPr>
        <w:t>条</w:t>
      </w:r>
      <w:r>
        <w:rPr>
          <w:rStyle w:val="13"/>
          <w:sz w:val="32"/>
          <w:szCs w:val="32"/>
          <w:shd w:val="clear" w:color="auto" w:fill="FFFFFF"/>
        </w:rPr>
        <w:footnoteReference w:id="4"/>
      </w:r>
      <w:r>
        <w:rPr>
          <w:rFonts w:hint="eastAsia"/>
          <w:sz w:val="32"/>
          <w:szCs w:val="32"/>
          <w:shd w:val="clear" w:color="auto" w:fill="FFFFFF"/>
        </w:rPr>
        <w:t>。</w:t>
      </w:r>
    </w:p>
    <w:p>
      <w:pPr>
        <w:ind w:firstLine="480"/>
        <w:rPr>
          <w:sz w:val="32"/>
          <w:szCs w:val="32"/>
        </w:rPr>
      </w:pPr>
      <w:r>
        <w:rPr>
          <w:rFonts w:hint="eastAsia"/>
          <w:sz w:val="32"/>
          <w:szCs w:val="32"/>
        </w:rPr>
        <w:t>三是完善巡查通报制度。教育部组织专业团队建立了线上学科类校外培训机构日常巡查制度，开展全面常态巡查。截至1</w:t>
      </w:r>
      <w:r>
        <w:rPr>
          <w:sz w:val="32"/>
          <w:szCs w:val="32"/>
        </w:rPr>
        <w:t>0</w:t>
      </w:r>
      <w:r>
        <w:rPr>
          <w:rFonts w:hint="eastAsia"/>
          <w:sz w:val="32"/>
          <w:szCs w:val="32"/>
        </w:rPr>
        <w:t>月底，共连续不间断开展了4次巡查，掌握了一批违规线索，并建立了违规培训机构动态库，共涉及全国12个省份、50余个培训机构。</w:t>
      </w:r>
      <w:r>
        <w:rPr>
          <w:rFonts w:hint="eastAsia"/>
          <w:sz w:val="32"/>
          <w:szCs w:val="32"/>
          <w:shd w:val="clear" w:color="auto" w:fill="FFFFFF"/>
        </w:rPr>
        <w:t>教督委</w:t>
      </w:r>
      <w:r>
        <w:rPr>
          <w:sz w:val="32"/>
          <w:szCs w:val="32"/>
          <w:shd w:val="clear" w:color="auto" w:fill="FFFFFF"/>
        </w:rPr>
        <w:t>建立</w:t>
      </w:r>
      <w:r>
        <w:rPr>
          <w:rFonts w:hint="eastAsia"/>
          <w:sz w:val="32"/>
          <w:szCs w:val="32"/>
          <w:shd w:val="clear" w:color="auto" w:fill="FFFFFF"/>
        </w:rPr>
        <w:t>“双减”</w:t>
      </w:r>
      <w:r>
        <w:rPr>
          <w:sz w:val="32"/>
          <w:szCs w:val="32"/>
          <w:shd w:val="clear" w:color="auto" w:fill="FFFFFF"/>
        </w:rPr>
        <w:t>专项督导半月通报制度，从9月起，每两周对各省</w:t>
      </w:r>
      <w:r>
        <w:rPr>
          <w:rFonts w:hint="eastAsia"/>
          <w:sz w:val="32"/>
          <w:szCs w:val="32"/>
          <w:shd w:val="clear" w:color="auto" w:fill="FFFFFF"/>
        </w:rPr>
        <w:t>“双减”</w:t>
      </w:r>
      <w:r>
        <w:rPr>
          <w:sz w:val="32"/>
          <w:szCs w:val="32"/>
          <w:shd w:val="clear" w:color="auto" w:fill="FFFFFF"/>
        </w:rPr>
        <w:t>工作落实进度情况进行通报。通报内容主要包括作业时间达标学校比例、课后服务时间达标学校比例、学科类培训机构压减、违规培训广告查处和群众举报线索问题核查处理情况等8个方面的内容共计21项指标。</w:t>
      </w:r>
      <w:r>
        <w:rPr>
          <w:rFonts w:hint="eastAsia"/>
          <w:sz w:val="32"/>
          <w:szCs w:val="32"/>
          <w:shd w:val="clear" w:color="auto" w:fill="FFFFFF"/>
        </w:rPr>
        <w:t>针对校外培训机构“退费难”和劳动用工风险排查不全问题，教督委开展专项督办。</w:t>
      </w:r>
    </w:p>
    <w:p>
      <w:pPr>
        <w:pStyle w:val="3"/>
        <w:rPr>
          <w:sz w:val="32"/>
          <w:szCs w:val="32"/>
        </w:rPr>
      </w:pPr>
      <w:r>
        <w:rPr>
          <w:rFonts w:hint="eastAsia"/>
          <w:sz w:val="32"/>
          <w:szCs w:val="32"/>
        </w:rPr>
        <w:t>（四）备案制改为审批制，提高线上校外培训机构准入门槛</w:t>
      </w:r>
    </w:p>
    <w:p>
      <w:pPr>
        <w:ind w:firstLine="480"/>
        <w:rPr>
          <w:sz w:val="32"/>
          <w:szCs w:val="32"/>
        </w:rPr>
      </w:pPr>
      <w:r>
        <w:rPr>
          <w:rFonts w:hint="eastAsia"/>
          <w:sz w:val="32"/>
          <w:szCs w:val="32"/>
        </w:rPr>
        <w:t>9月，教育部办公厅等六部门印发《关于做好现有线上学科类培训机构由备案改为审批工作的通知》，对于“双减”文件印发前，按《教育部等六部门关于规范校外线上培训的实施意见》（教基函〔2019〕8号）已备案的、面向中小学生的线上学科类培训机构实施审批制度，确保证照齐全、规范运营。</w:t>
      </w:r>
    </w:p>
    <w:p>
      <w:pPr>
        <w:ind w:firstLine="480"/>
        <w:rPr>
          <w:sz w:val="32"/>
          <w:szCs w:val="32"/>
        </w:rPr>
      </w:pPr>
      <w:r>
        <w:rPr>
          <w:rFonts w:hint="eastAsia"/>
          <w:sz w:val="32"/>
          <w:szCs w:val="32"/>
        </w:rPr>
        <w:t>《通知》明确了线上校外培训机构的办公场所、线下实体培训场所、开办资金、名称、服务器、人员、网络安全标准、教育App管理等基本条件；要求校外培训机构内容健康、教学合规、课时适当、平台可控；要求校外培训机构重视党建、制定章程、明确收退费管理、规范合同签订、规范营销宣传。</w:t>
      </w:r>
    </w:p>
    <w:p>
      <w:pPr>
        <w:ind w:firstLine="480"/>
        <w:rPr>
          <w:sz w:val="32"/>
          <w:szCs w:val="32"/>
        </w:rPr>
      </w:pPr>
      <w:r>
        <w:rPr>
          <w:rFonts w:hint="eastAsia"/>
          <w:sz w:val="32"/>
          <w:szCs w:val="32"/>
        </w:rPr>
        <w:t>随着将线上学科类培训机构由备案制改为审批制，意味着行政部门对线上校外培训机构的管理将更加严格，同时线上学科类教培机构的准入门槛更高，促使线上培训机构更加规范。</w:t>
      </w:r>
    </w:p>
    <w:p>
      <w:pPr>
        <w:pStyle w:val="3"/>
        <w:rPr>
          <w:sz w:val="32"/>
          <w:szCs w:val="32"/>
        </w:rPr>
      </w:pPr>
      <w:r>
        <w:rPr>
          <w:rFonts w:hint="eastAsia"/>
          <w:sz w:val="32"/>
          <w:szCs w:val="32"/>
        </w:rPr>
        <w:t>（五）管控校外培训广告，营造干净消费环境</w:t>
      </w:r>
    </w:p>
    <w:p>
      <w:pPr>
        <w:ind w:firstLine="480"/>
        <w:rPr>
          <w:sz w:val="32"/>
          <w:szCs w:val="32"/>
        </w:rPr>
      </w:pPr>
      <w:r>
        <w:rPr>
          <w:rFonts w:hint="eastAsia"/>
          <w:sz w:val="32"/>
          <w:szCs w:val="32"/>
        </w:rPr>
        <w:t>1</w:t>
      </w:r>
      <w:r>
        <w:rPr>
          <w:sz w:val="32"/>
          <w:szCs w:val="32"/>
        </w:rPr>
        <w:t>1</w:t>
      </w:r>
      <w:r>
        <w:rPr>
          <w:rFonts w:hint="eastAsia"/>
          <w:sz w:val="32"/>
          <w:szCs w:val="32"/>
        </w:rPr>
        <w:t>月，市场监管总局会同中宣部、网信办、教育部、民政部、住建部、国资委、广电总局等八部门研究出台《关于做好校外培训广告管控的通知》（简称《通知》），就做好校外培训广告管控工作作出部署。《通知》要求不区分学科类、非学科类，确保做到主流媒体及其新媒体、网络平台以及公共场所、居民区等线上线下空间不刊登、不播发面向中小学（含幼儿园）的校外培训广告。集中时间、集中力量对主流媒体及其新媒体、网络平台以及公共场所、居民区等线上线下空间校外培训广告开展全面排查，清理存量、杜绝增量。综合运用舆论引导、企业自律、行业管理、市场准入、监管执法、社会共治等多种手段，确保“双减”政策要求落实到位。</w:t>
      </w:r>
    </w:p>
    <w:p>
      <w:pPr>
        <w:ind w:firstLine="480"/>
        <w:rPr>
          <w:sz w:val="32"/>
          <w:szCs w:val="32"/>
        </w:rPr>
      </w:pPr>
      <w:r>
        <w:rPr>
          <w:rFonts w:hint="eastAsia"/>
          <w:sz w:val="32"/>
          <w:szCs w:val="32"/>
        </w:rPr>
        <w:t>《通知》的出台适逢其时，突破了原有对校外培训招生管理囿于教育行政系统内部的限制，直击校外培训招生虚假宣传执法打击难的痛点。市场监管总局、教育部与网信、住建等部门的协同配合，织起一张防范和打击校外培训机构虚假宣传的“网”，从源头的培训机构审批备案，到广告宣传的过程和内容监控，再到发现问题时的关停和处罚，综合利用政策、法律、经济和技术等手段促进校外培训市场的健康发展，保障消费者的切身利益。</w:t>
      </w:r>
    </w:p>
    <w:p>
      <w:pPr>
        <w:pStyle w:val="3"/>
        <w:rPr>
          <w:sz w:val="32"/>
          <w:szCs w:val="32"/>
        </w:rPr>
      </w:pPr>
      <w:r>
        <w:rPr>
          <w:rFonts w:hint="eastAsia"/>
          <w:sz w:val="32"/>
          <w:szCs w:val="32"/>
        </w:rPr>
        <w:t>（六）修订校外培训合同，有效减少合同纠纷</w:t>
      </w:r>
    </w:p>
    <w:p>
      <w:pPr>
        <w:ind w:firstLine="480"/>
        <w:rPr>
          <w:sz w:val="32"/>
          <w:szCs w:val="32"/>
        </w:rPr>
      </w:pPr>
      <w:r>
        <w:rPr>
          <w:rFonts w:hint="eastAsia"/>
          <w:sz w:val="32"/>
          <w:szCs w:val="32"/>
        </w:rPr>
        <w:t>1</w:t>
      </w:r>
      <w:r>
        <w:rPr>
          <w:sz w:val="32"/>
          <w:szCs w:val="32"/>
        </w:rPr>
        <w:t>0</w:t>
      </w:r>
      <w:r>
        <w:rPr>
          <w:rFonts w:hint="eastAsia"/>
          <w:sz w:val="32"/>
          <w:szCs w:val="32"/>
        </w:rPr>
        <w:t>月，教育部会同市场监管总局在开展调查研究和广泛征求意见的基础上，对《中小学生校外培训服务合同（示范文本）》进行了修订和完善，共同发布《中小学生校外培训服务合同（示范文本）》（2021年修订版）（以下简称《服务合同（示范文本）》），进一步规范合同当事人签约、履约行为，提升校外培训机构服务质量，化解校外培训中产生的纠纷，保护合同当事人合法权益。</w:t>
      </w:r>
    </w:p>
    <w:p>
      <w:pPr>
        <w:ind w:firstLine="480"/>
        <w:rPr>
          <w:sz w:val="32"/>
          <w:szCs w:val="32"/>
        </w:rPr>
      </w:pPr>
      <w:r>
        <w:rPr>
          <w:rFonts w:hint="eastAsia"/>
          <w:sz w:val="32"/>
          <w:szCs w:val="32"/>
        </w:rPr>
        <w:t>针对校外培训中存在的制造教育焦虑问题、机构培训超越资质问题、培训人员素质参差不齐问题、违规收费及卷款“跑路”问题、意识形态问题、校车安全问题等社会民众普遍关切的问题，《服务合同（示范文本）》从充分吸收国家法律法规及政策要求，从合同关系角度回应并解决了这些问题</w:t>
      </w:r>
      <w:r>
        <w:rPr>
          <w:rStyle w:val="13"/>
          <w:sz w:val="32"/>
          <w:szCs w:val="32"/>
        </w:rPr>
        <w:footnoteReference w:id="5"/>
      </w:r>
      <w:r>
        <w:rPr>
          <w:rFonts w:hint="eastAsia"/>
          <w:sz w:val="32"/>
          <w:szCs w:val="32"/>
        </w:rPr>
        <w:t>。具体地，《服务合同（示范文本）》在使用说明中界定了校外培训机构的范围，同时提示使用者：“合同签订前，学科类培训机构应当出示办学许可证和民办非企业单位登记证书等证明文件；非学科类培训机构应当出示办学许可证，营业执照（或事业单位法人证书、民办非企业单位登记证书）等证明文件”。《服务合同（示范文本）》单独设置“特别提示”栏目，置于合同正文之前，将国家有关校外培训的具体要求明确列出，规范了培训机构收费、退费行为，并通过预收费资金监管方式预防卷款“跑路”问题。在培训者义务中，明确了培训人员、教育课程、培训材料、外籍人员以及校车的管理规范，保障了培训服务的质量，维护了受培训者的合法权益。在信息保护方面，《服务合同（示范文本）》明确了培训机构保护受培训者个人信息的义务，并要求其在“收集、存储、使用、加工、公开等个人信息处理活动中严格遵守《中华人民共和国个人信息保护法》《中华人民共和国未成年保护法》的规定”。在适用范围方面，《服务合同（示范文本）》适用于线上线下学科类与非学科类培训，在使用说明中明确适用范围包含面向3至6岁学龄前儿童开展的线下非学科类培训情形。</w:t>
      </w:r>
    </w:p>
    <w:p>
      <w:pPr>
        <w:pStyle w:val="3"/>
        <w:rPr>
          <w:sz w:val="32"/>
          <w:szCs w:val="32"/>
        </w:rPr>
      </w:pPr>
      <w:r>
        <w:rPr>
          <w:rFonts w:hint="eastAsia"/>
          <w:sz w:val="32"/>
          <w:szCs w:val="32"/>
        </w:rPr>
        <w:t>（七）强化预收费监管，保障消费者权益</w:t>
      </w:r>
    </w:p>
    <w:p>
      <w:pPr>
        <w:ind w:firstLine="480"/>
        <w:rPr>
          <w:sz w:val="32"/>
          <w:szCs w:val="32"/>
        </w:rPr>
      </w:pPr>
      <w:r>
        <w:rPr>
          <w:rFonts w:hint="eastAsia"/>
          <w:sz w:val="32"/>
          <w:szCs w:val="32"/>
        </w:rPr>
        <w:t>1</w:t>
      </w:r>
      <w:r>
        <w:rPr>
          <w:sz w:val="32"/>
          <w:szCs w:val="32"/>
        </w:rPr>
        <w:t>0</w:t>
      </w:r>
      <w:r>
        <w:rPr>
          <w:rFonts w:hint="eastAsia"/>
          <w:sz w:val="32"/>
          <w:szCs w:val="32"/>
        </w:rPr>
        <w:t>月，教育部等六部门联合印发《关于加强校外培训机构预收费监管工作的通知》（简称《通知》），要求各地采取银行托管或风险保证金方式，对校外培训机构向学员所预先收取的费用做到“全部”和“全额”监管，旨在防范和化解因机构违规操作或经营不善所导致的不当收费、退费难和“卷款跑路”等侵害群众利益的问题和矛盾，以切实维护广大人民群众的合法权益。</w:t>
      </w:r>
    </w:p>
    <w:p>
      <w:pPr>
        <w:ind w:firstLine="480"/>
        <w:rPr>
          <w:sz w:val="32"/>
          <w:szCs w:val="32"/>
        </w:rPr>
      </w:pPr>
      <w:r>
        <w:rPr>
          <w:rFonts w:hint="eastAsia"/>
          <w:sz w:val="32"/>
          <w:szCs w:val="32"/>
        </w:rPr>
        <w:t>该通知将系统性地推动对校外培训机构预收费监管。一是严格规范预收费行为。强调要坚持校外培训公益属性，落实培训收费管理政策，执行收费专用账户和收费时段等预收费管理要求，加强预收费票据管理，解决培训机构过高收费、过度逐利、超长期限收费、通过不公平格式合同条款侵害学员合法权益等问题。二是全面实施预收费监管。强调对面向中小学生（含幼儿园儿童）的校外培训机构，不区分学科类和非学科类，包括本《通知》发布前已收取但未完成培训服务的预收费资金，各地结合实际，采取银行托管或风险保证金方式，全面实行预收费监管。同时，要加强对培训领域贷款监管，严禁诱导中小学生家长使用分期贷款缴纳校外培训费用，减少冲动消费，防患校外培训机构“退费难”“卷钱跑路”的情况。三是健全预收费监管机制。针对监管工作涉及部门多、信息不对称的情况，强调加强部门统筹，形成监管合力，建立信息共享机制，强化风险预警，加强行业自律。</w:t>
      </w:r>
    </w:p>
    <w:p>
      <w:pPr>
        <w:pStyle w:val="3"/>
        <w:rPr>
          <w:rFonts w:hint="default" w:eastAsia="仿宋"/>
          <w:sz w:val="32"/>
          <w:szCs w:val="32"/>
          <w:lang w:val="en-US" w:eastAsia="zh-CN"/>
        </w:rPr>
      </w:pPr>
      <w:r>
        <w:rPr>
          <w:rFonts w:hint="eastAsia"/>
          <w:sz w:val="32"/>
          <w:szCs w:val="32"/>
        </w:rPr>
        <w:t>（八）规范成人教育培训</w:t>
      </w:r>
      <w:r>
        <w:rPr>
          <w:rFonts w:hint="eastAsia"/>
          <w:sz w:val="32"/>
          <w:szCs w:val="32"/>
          <w:lang w:eastAsia="zh-CN"/>
        </w:rPr>
        <w:t>，</w:t>
      </w:r>
      <w:r>
        <w:rPr>
          <w:rFonts w:hint="eastAsia"/>
          <w:sz w:val="32"/>
          <w:szCs w:val="32"/>
          <w:lang w:val="en-US" w:eastAsia="zh-CN"/>
        </w:rPr>
        <w:t>推动行业有序发展</w:t>
      </w:r>
    </w:p>
    <w:p>
      <w:pPr>
        <w:ind w:firstLine="480"/>
        <w:rPr>
          <w:sz w:val="32"/>
          <w:szCs w:val="32"/>
        </w:rPr>
      </w:pPr>
      <w:r>
        <w:rPr>
          <w:rFonts w:hint="eastAsia"/>
          <w:sz w:val="32"/>
          <w:szCs w:val="32"/>
        </w:rPr>
        <w:t>部分社会成人教育培训机构存在名称使用不规范、虚假不实招生宣传、条件和质量低下等问题，损害人民群众合法利益、扰乱教育培训市场秩序，不利于成人教育培训市场健康发展。</w:t>
      </w:r>
    </w:p>
    <w:p>
      <w:pPr>
        <w:ind w:firstLine="480"/>
        <w:rPr>
          <w:sz w:val="32"/>
          <w:szCs w:val="32"/>
        </w:rPr>
      </w:pPr>
      <w:r>
        <w:rPr>
          <w:rFonts w:hint="eastAsia"/>
          <w:sz w:val="32"/>
          <w:szCs w:val="32"/>
        </w:rPr>
        <w:t>为推动社会成人培训规范有序发展，维护人民群众合法利益，7月，教育部办公厅发布《关于加强社会成人教育培训管理的通知》，对成人教育机构的招生管理、培训内容、师资团队、信息化建设等提出详细指导建议。《通知》要求社会成人教育培训机构坚持正确方向、规范名称使用、严格招生管理、选好培训内容、优化师资团队、创新培训模式、完善经费管理、引导行业自律、加强安全管理。</w:t>
      </w:r>
    </w:p>
    <w:p>
      <w:pPr>
        <w:ind w:firstLine="480"/>
      </w:pPr>
    </w:p>
    <w:p>
      <w:pPr>
        <w:ind w:firstLine="0" w:firstLineChars="0"/>
        <w:jc w:val="center"/>
        <w:rPr>
          <w:b/>
        </w:rPr>
      </w:pPr>
      <w:r>
        <w:rPr>
          <w:rFonts w:hint="eastAsia"/>
          <w:b/>
        </w:rPr>
        <w:t xml:space="preserve">表1   </w:t>
      </w:r>
      <w:r>
        <w:rPr>
          <w:b/>
        </w:rPr>
        <w:t>2021</w:t>
      </w:r>
      <w:r>
        <w:rPr>
          <w:rFonts w:hint="eastAsia"/>
          <w:b/>
        </w:rPr>
        <w:t>年规范校外教育培训行业的政策文件</w:t>
      </w:r>
    </w:p>
    <w:tbl>
      <w:tblPr>
        <w:tblStyle w:val="15"/>
        <w:tblW w:w="8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2551"/>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tcPr>
          <w:p>
            <w:pPr>
              <w:ind w:firstLine="0" w:firstLineChars="0"/>
              <w:jc w:val="center"/>
              <w:rPr>
                <w:b/>
                <w:bCs/>
                <w:sz w:val="21"/>
                <w:szCs w:val="21"/>
              </w:rPr>
            </w:pPr>
            <w:r>
              <w:rPr>
                <w:rFonts w:hint="eastAsia"/>
                <w:b/>
                <w:bCs/>
                <w:sz w:val="21"/>
                <w:szCs w:val="21"/>
              </w:rPr>
              <w:t>发文时间</w:t>
            </w:r>
          </w:p>
        </w:tc>
        <w:tc>
          <w:tcPr>
            <w:tcW w:w="2551" w:type="dxa"/>
          </w:tcPr>
          <w:p>
            <w:pPr>
              <w:ind w:firstLine="0" w:firstLineChars="0"/>
              <w:jc w:val="center"/>
              <w:rPr>
                <w:b/>
                <w:bCs/>
                <w:sz w:val="21"/>
                <w:szCs w:val="21"/>
              </w:rPr>
            </w:pPr>
            <w:r>
              <w:rPr>
                <w:rFonts w:hint="eastAsia"/>
                <w:b/>
                <w:bCs/>
                <w:sz w:val="21"/>
                <w:szCs w:val="21"/>
              </w:rPr>
              <w:t>发文单位</w:t>
            </w:r>
          </w:p>
        </w:tc>
        <w:tc>
          <w:tcPr>
            <w:tcW w:w="4445" w:type="dxa"/>
          </w:tcPr>
          <w:p>
            <w:pPr>
              <w:ind w:firstLine="0" w:firstLineChars="0"/>
              <w:jc w:val="center"/>
              <w:rPr>
                <w:b/>
                <w:bCs/>
                <w:sz w:val="21"/>
                <w:szCs w:val="21"/>
              </w:rPr>
            </w:pPr>
            <w:r>
              <w:rPr>
                <w:rFonts w:hint="eastAsia"/>
                <w:b/>
                <w:bCs/>
                <w:sz w:val="21"/>
                <w:szCs w:val="21"/>
              </w:rPr>
              <w:t>文件名称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sz w:val="21"/>
                <w:szCs w:val="21"/>
              </w:rPr>
            </w:pPr>
            <w:r>
              <w:rPr>
                <w:rFonts w:hint="eastAsia" w:ascii="仿宋" w:hAnsi="仿宋" w:cs="宋体"/>
                <w:color w:val="000000"/>
                <w:kern w:val="0"/>
                <w:sz w:val="21"/>
                <w:szCs w:val="21"/>
              </w:rPr>
              <w:t>2021-03-31</w:t>
            </w:r>
          </w:p>
        </w:tc>
        <w:tc>
          <w:tcPr>
            <w:tcW w:w="2551" w:type="dxa"/>
            <w:vAlign w:val="center"/>
          </w:tcPr>
          <w:p>
            <w:pPr>
              <w:ind w:firstLine="0" w:firstLineChars="0"/>
              <w:rPr>
                <w:sz w:val="21"/>
                <w:szCs w:val="21"/>
              </w:rPr>
            </w:pPr>
            <w:r>
              <w:rPr>
                <w:rFonts w:hint="eastAsia" w:ascii="仿宋" w:hAnsi="仿宋" w:cs="宋体"/>
                <w:color w:val="000000"/>
                <w:kern w:val="0"/>
                <w:sz w:val="21"/>
                <w:szCs w:val="21"/>
              </w:rPr>
              <w:t>教育部办公厅</w:t>
            </w:r>
          </w:p>
        </w:tc>
        <w:tc>
          <w:tcPr>
            <w:tcW w:w="4445" w:type="dxa"/>
            <w:vAlign w:val="center"/>
          </w:tcPr>
          <w:p>
            <w:pPr>
              <w:ind w:firstLine="0" w:firstLineChars="0"/>
              <w:rPr>
                <w:sz w:val="21"/>
                <w:szCs w:val="21"/>
              </w:rPr>
            </w:pPr>
            <w:r>
              <w:rPr>
                <w:rFonts w:hint="eastAsia" w:ascii="仿宋" w:hAnsi="仿宋" w:cs="宋体"/>
                <w:color w:val="000000"/>
                <w:kern w:val="0"/>
                <w:sz w:val="21"/>
                <w:szCs w:val="21"/>
              </w:rPr>
              <w:t>关于进一步加强中小学生睡眠管理工作的通知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sz w:val="21"/>
                <w:szCs w:val="21"/>
              </w:rPr>
            </w:pPr>
            <w:r>
              <w:rPr>
                <w:rFonts w:hint="eastAsia" w:ascii="仿宋" w:hAnsi="仿宋" w:cs="宋体"/>
                <w:color w:val="000000"/>
                <w:kern w:val="0"/>
                <w:sz w:val="21"/>
                <w:szCs w:val="21"/>
              </w:rPr>
              <w:t>2021-04-12</w:t>
            </w:r>
          </w:p>
        </w:tc>
        <w:tc>
          <w:tcPr>
            <w:tcW w:w="2551" w:type="dxa"/>
            <w:vAlign w:val="center"/>
          </w:tcPr>
          <w:p>
            <w:pPr>
              <w:ind w:firstLine="0" w:firstLineChars="0"/>
              <w:rPr>
                <w:sz w:val="21"/>
                <w:szCs w:val="21"/>
              </w:rPr>
            </w:pPr>
            <w:r>
              <w:rPr>
                <w:rFonts w:hint="eastAsia" w:ascii="仿宋" w:hAnsi="仿宋" w:cs="宋体"/>
                <w:color w:val="000000"/>
                <w:kern w:val="0"/>
                <w:sz w:val="21"/>
                <w:szCs w:val="21"/>
              </w:rPr>
              <w:t>教育部办公厅</w:t>
            </w:r>
          </w:p>
        </w:tc>
        <w:tc>
          <w:tcPr>
            <w:tcW w:w="4445" w:type="dxa"/>
            <w:vAlign w:val="center"/>
          </w:tcPr>
          <w:p>
            <w:pPr>
              <w:ind w:firstLine="0" w:firstLineChars="0"/>
              <w:rPr>
                <w:sz w:val="21"/>
                <w:szCs w:val="21"/>
              </w:rPr>
            </w:pPr>
            <w:r>
              <w:rPr>
                <w:rFonts w:hint="eastAsia" w:ascii="仿宋" w:hAnsi="仿宋" w:cs="宋体"/>
                <w:color w:val="000000"/>
                <w:kern w:val="0"/>
                <w:sz w:val="21"/>
                <w:szCs w:val="21"/>
              </w:rPr>
              <w:t>关于加强义务教育学校作业管理的通知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1334" w:type="dxa"/>
            <w:noWrap/>
          </w:tcPr>
          <w:p>
            <w:pPr>
              <w:ind w:firstLine="0" w:firstLineChars="0"/>
              <w:rPr>
                <w:rFonts w:ascii="仿宋" w:hAnsi="仿宋" w:cs="宋体"/>
                <w:color w:val="000000"/>
                <w:kern w:val="0"/>
                <w:sz w:val="21"/>
                <w:szCs w:val="21"/>
              </w:rPr>
            </w:pPr>
            <w:r>
              <w:rPr>
                <w:rFonts w:ascii="仿宋" w:hAnsi="仿宋" w:cs="宋体"/>
                <w:color w:val="000000"/>
                <w:kern w:val="0"/>
                <w:sz w:val="21"/>
                <w:szCs w:val="21"/>
              </w:rPr>
              <w:t>2021-</w:t>
            </w:r>
            <w:r>
              <w:rPr>
                <w:rFonts w:hint="eastAsia" w:ascii="仿宋" w:hAnsi="仿宋" w:cs="宋体"/>
                <w:color w:val="000000"/>
                <w:kern w:val="0"/>
                <w:sz w:val="21"/>
                <w:szCs w:val="21"/>
              </w:rPr>
              <w:t>0</w:t>
            </w:r>
            <w:r>
              <w:rPr>
                <w:rFonts w:ascii="仿宋" w:hAnsi="仿宋" w:cs="宋体"/>
                <w:color w:val="000000"/>
                <w:kern w:val="0"/>
                <w:sz w:val="21"/>
                <w:szCs w:val="21"/>
              </w:rPr>
              <w:t>7-</w:t>
            </w:r>
            <w:r>
              <w:rPr>
                <w:rFonts w:hint="eastAsia" w:ascii="仿宋" w:hAnsi="仿宋" w:cs="宋体"/>
                <w:color w:val="000000"/>
                <w:kern w:val="0"/>
                <w:sz w:val="21"/>
                <w:szCs w:val="21"/>
              </w:rPr>
              <w:t>0</w:t>
            </w:r>
            <w:r>
              <w:rPr>
                <w:rFonts w:ascii="仿宋" w:hAnsi="仿宋" w:cs="宋体"/>
                <w:color w:val="000000"/>
                <w:kern w:val="0"/>
                <w:sz w:val="21"/>
                <w:szCs w:val="21"/>
              </w:rPr>
              <w:t>7</w:t>
            </w:r>
          </w:p>
        </w:tc>
        <w:tc>
          <w:tcPr>
            <w:tcW w:w="2551" w:type="dxa"/>
            <w:noWrap/>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w:t>
            </w:r>
          </w:p>
        </w:tc>
        <w:tc>
          <w:tcPr>
            <w:tcW w:w="4445" w:type="dxa"/>
            <w:noWrap/>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关于加强社会成人教育培训管理的通知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sz w:val="21"/>
                <w:szCs w:val="21"/>
              </w:rPr>
            </w:pPr>
            <w:r>
              <w:rPr>
                <w:rFonts w:hint="eastAsia" w:ascii="仿宋" w:hAnsi="仿宋" w:cs="宋体"/>
                <w:color w:val="000000"/>
                <w:kern w:val="0"/>
                <w:sz w:val="21"/>
                <w:szCs w:val="21"/>
              </w:rPr>
              <w:t>2021-07-23</w:t>
            </w:r>
          </w:p>
        </w:tc>
        <w:tc>
          <w:tcPr>
            <w:tcW w:w="2551" w:type="dxa"/>
          </w:tcPr>
          <w:p>
            <w:pPr>
              <w:ind w:firstLine="0" w:firstLineChars="0"/>
              <w:rPr>
                <w:sz w:val="21"/>
                <w:szCs w:val="21"/>
              </w:rPr>
            </w:pPr>
            <w:r>
              <w:rPr>
                <w:rFonts w:hint="eastAsia" w:ascii="仿宋" w:hAnsi="仿宋" w:cs="宋体"/>
                <w:color w:val="000000"/>
                <w:kern w:val="0"/>
                <w:sz w:val="21"/>
                <w:szCs w:val="21"/>
              </w:rPr>
              <w:t>中共中央办公厅 国务院办公厅</w:t>
            </w:r>
          </w:p>
        </w:tc>
        <w:tc>
          <w:tcPr>
            <w:tcW w:w="4445" w:type="dxa"/>
          </w:tcPr>
          <w:p>
            <w:pPr>
              <w:ind w:firstLine="0" w:firstLineChars="0"/>
              <w:rPr>
                <w:sz w:val="21"/>
                <w:szCs w:val="21"/>
              </w:rPr>
            </w:pPr>
            <w:r>
              <w:rPr>
                <w:rFonts w:hint="eastAsia" w:ascii="仿宋" w:hAnsi="仿宋" w:cs="宋体"/>
                <w:color w:val="000000"/>
                <w:kern w:val="0"/>
                <w:sz w:val="21"/>
                <w:szCs w:val="21"/>
              </w:rPr>
              <w:t>关于进一步减轻义务教育阶段学生作业负担和校外培训负担的意见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2021-09-01</w:t>
            </w:r>
          </w:p>
        </w:tc>
        <w:tc>
          <w:tcPr>
            <w:tcW w:w="2551"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w:t>
            </w:r>
          </w:p>
        </w:tc>
        <w:tc>
          <w:tcPr>
            <w:tcW w:w="4445"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关于印发《中小学生校外培训材料管理办法（试行）》的通知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2021-09-03</w:t>
            </w:r>
          </w:p>
        </w:tc>
        <w:tc>
          <w:tcPr>
            <w:tcW w:w="2551"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教育部办公厅等三部门</w:t>
            </w:r>
          </w:p>
        </w:tc>
        <w:tc>
          <w:tcPr>
            <w:tcW w:w="4445"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关于将面向义务教育阶段学生的学科类校外培训机构统一登记为非营利性机构的通知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2021-09-06</w:t>
            </w:r>
          </w:p>
        </w:tc>
        <w:tc>
          <w:tcPr>
            <w:tcW w:w="2551" w:type="dxa"/>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w:t>
            </w:r>
          </w:p>
        </w:tc>
        <w:tc>
          <w:tcPr>
            <w:tcW w:w="4445" w:type="dxa"/>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关于坚决查处变相违规开展学科类校外培训问题的通知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2021-09-13</w:t>
            </w:r>
          </w:p>
        </w:tc>
        <w:tc>
          <w:tcPr>
            <w:tcW w:w="2551"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 人力资源社会保障部办公厅</w:t>
            </w:r>
          </w:p>
        </w:tc>
        <w:tc>
          <w:tcPr>
            <w:tcW w:w="4445"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关于印发《校外培训机构从业人员管理办法（试行）》的通知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2021-09-16</w:t>
            </w:r>
          </w:p>
        </w:tc>
        <w:tc>
          <w:tcPr>
            <w:tcW w:w="2551"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教育部办公厅等六部门</w:t>
            </w:r>
          </w:p>
        </w:tc>
        <w:tc>
          <w:tcPr>
            <w:tcW w:w="4445"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关于做好现有线上学科类培训机构由备案改为审批工作的通知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1334"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2021-10-26</w:t>
            </w:r>
          </w:p>
        </w:tc>
        <w:tc>
          <w:tcPr>
            <w:tcW w:w="2551"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教育部等六部门</w:t>
            </w:r>
          </w:p>
        </w:tc>
        <w:tc>
          <w:tcPr>
            <w:tcW w:w="4445"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关于加强校外培训机构预收费监管工作的通知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1334"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2021-10-12</w:t>
            </w:r>
          </w:p>
        </w:tc>
        <w:tc>
          <w:tcPr>
            <w:tcW w:w="2551"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 市场监管总局办公厅</w:t>
            </w:r>
          </w:p>
        </w:tc>
        <w:tc>
          <w:tcPr>
            <w:tcW w:w="4445"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关于印发《中小学生校外培训服务合同（示范文本）》的通知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1334"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w:t>
            </w:r>
            <w:r>
              <w:rPr>
                <w:rFonts w:ascii="仿宋" w:hAnsi="仿宋" w:cs="宋体"/>
                <w:color w:val="000000"/>
                <w:kern w:val="0"/>
                <w:sz w:val="21"/>
                <w:szCs w:val="21"/>
              </w:rPr>
              <w:t>021</w:t>
            </w:r>
            <w:r>
              <w:rPr>
                <w:rFonts w:hint="eastAsia" w:ascii="仿宋" w:hAnsi="仿宋" w:cs="宋体"/>
                <w:color w:val="000000"/>
                <w:kern w:val="0"/>
                <w:sz w:val="21"/>
                <w:szCs w:val="21"/>
              </w:rPr>
              <w:t>-</w:t>
            </w:r>
            <w:r>
              <w:rPr>
                <w:rFonts w:ascii="仿宋" w:hAnsi="仿宋" w:cs="宋体"/>
                <w:color w:val="000000"/>
                <w:kern w:val="0"/>
                <w:sz w:val="21"/>
                <w:szCs w:val="21"/>
              </w:rPr>
              <w:t>11</w:t>
            </w:r>
            <w:r>
              <w:rPr>
                <w:rFonts w:hint="eastAsia" w:ascii="仿宋" w:hAnsi="仿宋" w:cs="宋体"/>
                <w:color w:val="000000"/>
                <w:kern w:val="0"/>
                <w:sz w:val="21"/>
                <w:szCs w:val="21"/>
              </w:rPr>
              <w:t>-</w:t>
            </w:r>
            <w:r>
              <w:rPr>
                <w:rFonts w:ascii="仿宋" w:hAnsi="仿宋" w:cs="宋体"/>
                <w:color w:val="000000"/>
                <w:kern w:val="0"/>
                <w:sz w:val="21"/>
                <w:szCs w:val="21"/>
              </w:rPr>
              <w:t>03</w:t>
            </w:r>
          </w:p>
        </w:tc>
        <w:tc>
          <w:tcPr>
            <w:tcW w:w="2551"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市场监管总局、中央宣传部、中央网信办、教育部等八部门</w:t>
            </w:r>
          </w:p>
        </w:tc>
        <w:tc>
          <w:tcPr>
            <w:tcW w:w="4445" w:type="dxa"/>
            <w:noWrap/>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关于做好校外培训广告管控的通知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34"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2021-11-10</w:t>
            </w:r>
          </w:p>
        </w:tc>
        <w:tc>
          <w:tcPr>
            <w:tcW w:w="2551"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教育部办公厅</w:t>
            </w:r>
          </w:p>
        </w:tc>
        <w:tc>
          <w:tcPr>
            <w:tcW w:w="4445" w:type="dxa"/>
            <w:vAlign w:val="center"/>
          </w:tcPr>
          <w:p>
            <w:pPr>
              <w:ind w:firstLine="0" w:firstLineChars="0"/>
              <w:rPr>
                <w:rFonts w:ascii="仿宋" w:hAnsi="仿宋" w:cs="宋体"/>
                <w:color w:val="000000"/>
                <w:kern w:val="0"/>
                <w:sz w:val="21"/>
                <w:szCs w:val="21"/>
              </w:rPr>
            </w:pPr>
            <w:r>
              <w:rPr>
                <w:rFonts w:hint="eastAsia" w:ascii="仿宋" w:hAnsi="仿宋" w:cs="宋体"/>
                <w:color w:val="000000"/>
                <w:kern w:val="0"/>
                <w:sz w:val="21"/>
                <w:szCs w:val="21"/>
              </w:rPr>
              <w:t>关于印发《义务教育阶段校外培训项目分类鉴别指南》的通知</w:t>
            </w:r>
          </w:p>
        </w:tc>
      </w:tr>
    </w:tbl>
    <w:p>
      <w:pPr>
        <w:ind w:firstLine="480"/>
      </w:pPr>
    </w:p>
    <w:p>
      <w:pPr>
        <w:pStyle w:val="2"/>
        <w:ind w:firstLine="562"/>
        <w:rPr>
          <w:sz w:val="32"/>
          <w:szCs w:val="32"/>
        </w:rPr>
      </w:pPr>
      <w:r>
        <w:rPr>
          <w:rFonts w:hint="eastAsia"/>
          <w:sz w:val="32"/>
          <w:szCs w:val="32"/>
        </w:rPr>
        <w:t>三、我国校外教育培训领域消费者权益保护存在的主要问题</w:t>
      </w:r>
    </w:p>
    <w:p>
      <w:pPr>
        <w:ind w:firstLine="480"/>
        <w:rPr>
          <w:sz w:val="32"/>
          <w:szCs w:val="32"/>
        </w:rPr>
      </w:pPr>
      <w:r>
        <w:rPr>
          <w:rFonts w:hint="eastAsia"/>
          <w:sz w:val="32"/>
          <w:szCs w:val="32"/>
        </w:rPr>
        <w:t>2</w:t>
      </w:r>
      <w:r>
        <w:rPr>
          <w:sz w:val="32"/>
          <w:szCs w:val="32"/>
        </w:rPr>
        <w:t>021</w:t>
      </w:r>
      <w:r>
        <w:rPr>
          <w:rFonts w:hint="eastAsia"/>
          <w:sz w:val="32"/>
          <w:szCs w:val="32"/>
        </w:rPr>
        <w:t>年，受新冠疫情以及校外教育培训行业治理政策的冲击，我国校外教育培训领域消费维权舆情及消费者投诉呈上升趋势。2021年全国消协组织受理有关校外教育培训的投诉案件共80,528件，同比增长43.4%；教培机构频现跑路及退费风波成为2021年十大消费维权舆情热点之一</w:t>
      </w:r>
      <w:r>
        <w:rPr>
          <w:rStyle w:val="13"/>
          <w:sz w:val="32"/>
          <w:szCs w:val="32"/>
        </w:rPr>
        <w:footnoteReference w:id="6"/>
      </w:r>
      <w:r>
        <w:rPr>
          <w:rFonts w:hint="eastAsia"/>
          <w:sz w:val="32"/>
          <w:szCs w:val="32"/>
        </w:rPr>
        <w:t>。</w:t>
      </w:r>
    </w:p>
    <w:p>
      <w:pPr>
        <w:pStyle w:val="3"/>
        <w:rPr>
          <w:sz w:val="32"/>
          <w:szCs w:val="32"/>
        </w:rPr>
      </w:pPr>
      <w:r>
        <w:rPr>
          <w:rFonts w:hint="eastAsia"/>
          <w:sz w:val="32"/>
          <w:szCs w:val="32"/>
        </w:rPr>
        <w:t>（一）消费投诉增长快</w:t>
      </w:r>
    </w:p>
    <w:p>
      <w:pPr>
        <w:ind w:firstLine="480"/>
        <w:rPr>
          <w:sz w:val="32"/>
          <w:szCs w:val="32"/>
        </w:rPr>
      </w:pPr>
      <w:r>
        <w:rPr>
          <w:rFonts w:hint="eastAsia"/>
          <w:sz w:val="32"/>
          <w:szCs w:val="32"/>
        </w:rPr>
        <w:t>据消费者协会统计，2</w:t>
      </w:r>
      <w:r>
        <w:rPr>
          <w:sz w:val="32"/>
          <w:szCs w:val="32"/>
        </w:rPr>
        <w:t>015</w:t>
      </w:r>
      <w:r>
        <w:rPr>
          <w:rFonts w:hint="eastAsia"/>
          <w:sz w:val="32"/>
          <w:szCs w:val="32"/>
        </w:rPr>
        <w:t>—2</w:t>
      </w:r>
      <w:r>
        <w:rPr>
          <w:sz w:val="32"/>
          <w:szCs w:val="32"/>
        </w:rPr>
        <w:t>021</w:t>
      </w:r>
      <w:r>
        <w:rPr>
          <w:rFonts w:hint="eastAsia"/>
          <w:sz w:val="32"/>
          <w:szCs w:val="32"/>
        </w:rPr>
        <w:t>年消费者针对校外教育培训的投诉逐年上升，从5,</w:t>
      </w:r>
      <w:r>
        <w:rPr>
          <w:sz w:val="32"/>
          <w:szCs w:val="32"/>
        </w:rPr>
        <w:t>811</w:t>
      </w:r>
      <w:r>
        <w:rPr>
          <w:rFonts w:hint="eastAsia"/>
          <w:sz w:val="32"/>
          <w:szCs w:val="32"/>
        </w:rPr>
        <w:t>件增加到</w:t>
      </w:r>
      <w:r>
        <w:rPr>
          <w:sz w:val="32"/>
          <w:szCs w:val="32"/>
        </w:rPr>
        <w:t>80</w:t>
      </w:r>
      <w:r>
        <w:rPr>
          <w:rFonts w:hint="eastAsia"/>
          <w:sz w:val="32"/>
          <w:szCs w:val="32"/>
        </w:rPr>
        <w:t>,</w:t>
      </w:r>
      <w:r>
        <w:rPr>
          <w:sz w:val="32"/>
          <w:szCs w:val="32"/>
        </w:rPr>
        <w:t>528</w:t>
      </w:r>
      <w:r>
        <w:rPr>
          <w:rFonts w:hint="eastAsia"/>
          <w:sz w:val="32"/>
          <w:szCs w:val="32"/>
        </w:rPr>
        <w:t>件，占总投诉比例从</w:t>
      </w:r>
      <w:r>
        <w:rPr>
          <w:sz w:val="32"/>
          <w:szCs w:val="32"/>
        </w:rPr>
        <w:t>0.91</w:t>
      </w:r>
      <w:r>
        <w:rPr>
          <w:rFonts w:hint="eastAsia"/>
          <w:sz w:val="32"/>
          <w:szCs w:val="32"/>
        </w:rPr>
        <w:t>%上升至</w:t>
      </w:r>
      <w:r>
        <w:rPr>
          <w:sz w:val="32"/>
          <w:szCs w:val="32"/>
        </w:rPr>
        <w:t>7.71</w:t>
      </w:r>
      <w:r>
        <w:rPr>
          <w:rFonts w:hint="eastAsia"/>
          <w:sz w:val="32"/>
          <w:szCs w:val="32"/>
        </w:rPr>
        <w:t>%，占服务类投诉比例从3</w:t>
      </w:r>
      <w:r>
        <w:rPr>
          <w:sz w:val="32"/>
          <w:szCs w:val="32"/>
        </w:rPr>
        <w:t>.10</w:t>
      </w:r>
      <w:r>
        <w:rPr>
          <w:rFonts w:hint="eastAsia"/>
          <w:sz w:val="32"/>
          <w:szCs w:val="32"/>
        </w:rPr>
        <w:t>%上升至1</w:t>
      </w:r>
      <w:r>
        <w:rPr>
          <w:sz w:val="32"/>
          <w:szCs w:val="32"/>
        </w:rPr>
        <w:t>5.57</w:t>
      </w:r>
      <w:r>
        <w:rPr>
          <w:rFonts w:hint="eastAsia"/>
          <w:sz w:val="32"/>
          <w:szCs w:val="32"/>
        </w:rPr>
        <w:t>%。有关校外教育培训的投诉案件在十三个服务投诉大类</w:t>
      </w:r>
      <w:r>
        <w:rPr>
          <w:rStyle w:val="13"/>
          <w:sz w:val="32"/>
          <w:szCs w:val="32"/>
        </w:rPr>
        <w:footnoteReference w:id="7"/>
      </w:r>
      <w:r>
        <w:rPr>
          <w:rFonts w:hint="eastAsia"/>
          <w:sz w:val="32"/>
          <w:szCs w:val="32"/>
        </w:rPr>
        <w:t>中居于第3。虚假宣传、缺乏资质、价格欺诈、退费难、培训机构卷款跑路等消费侵权问题屡屡发生，极大地侵害了消费者权益，阻碍了我国校外教育培训行业的健康发展。</w:t>
      </w:r>
    </w:p>
    <w:p>
      <w:pPr>
        <w:ind w:firstLine="0" w:firstLineChars="0"/>
        <w:jc w:val="center"/>
      </w:pPr>
      <w:r>
        <w:drawing>
          <wp:inline distT="0" distB="0" distL="0" distR="0">
            <wp:extent cx="5264785" cy="272161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ind w:firstLine="0" w:firstLineChars="0"/>
        <w:jc w:val="center"/>
        <w:rPr>
          <w:b/>
        </w:rPr>
      </w:pPr>
      <w:r>
        <w:rPr>
          <w:rFonts w:hint="eastAsia"/>
          <w:b/>
        </w:rPr>
        <w:t>图2</w:t>
      </w:r>
      <w:r>
        <w:rPr>
          <w:b/>
        </w:rPr>
        <w:t>2011</w:t>
      </w:r>
      <w:r>
        <w:rPr>
          <w:rFonts w:hint="eastAsia"/>
          <w:b/>
        </w:rPr>
        <w:t>-</w:t>
      </w:r>
      <w:r>
        <w:rPr>
          <w:b/>
        </w:rPr>
        <w:t>2020</w:t>
      </w:r>
      <w:r>
        <w:rPr>
          <w:rFonts w:hint="eastAsia"/>
          <w:b/>
        </w:rPr>
        <w:t>年我国校外教育培训服务投诉情况</w:t>
      </w:r>
    </w:p>
    <w:p>
      <w:pPr>
        <w:pStyle w:val="3"/>
        <w:rPr>
          <w:sz w:val="32"/>
          <w:szCs w:val="32"/>
        </w:rPr>
      </w:pPr>
      <w:r>
        <w:rPr>
          <w:rFonts w:hint="eastAsia"/>
          <w:sz w:val="32"/>
          <w:szCs w:val="32"/>
        </w:rPr>
        <w:t>（二）格式合同纠纷多</w:t>
      </w:r>
    </w:p>
    <w:p>
      <w:pPr>
        <w:ind w:firstLine="480"/>
        <w:rPr>
          <w:sz w:val="32"/>
          <w:szCs w:val="32"/>
        </w:rPr>
      </w:pPr>
      <w:r>
        <w:rPr>
          <w:rFonts w:hint="eastAsia"/>
          <w:sz w:val="32"/>
          <w:szCs w:val="32"/>
        </w:rPr>
        <w:t>合同是消费者投诉的主要类别，2</w:t>
      </w:r>
      <w:r>
        <w:rPr>
          <w:sz w:val="32"/>
          <w:szCs w:val="32"/>
        </w:rPr>
        <w:t>021</w:t>
      </w:r>
      <w:r>
        <w:rPr>
          <w:rFonts w:hint="eastAsia"/>
          <w:sz w:val="32"/>
          <w:szCs w:val="32"/>
        </w:rPr>
        <w:t>年有关合同的</w:t>
      </w:r>
      <w:r>
        <w:rPr>
          <w:rFonts w:hint="eastAsia"/>
          <w:sz w:val="32"/>
          <w:szCs w:val="32"/>
          <w:lang w:val="en-US" w:eastAsia="zh-CN"/>
        </w:rPr>
        <w:t>校外教育培训投诉</w:t>
      </w:r>
      <w:r>
        <w:rPr>
          <w:sz w:val="32"/>
          <w:szCs w:val="32"/>
        </w:rPr>
        <w:t>35</w:t>
      </w:r>
      <w:r>
        <w:rPr>
          <w:rFonts w:hint="eastAsia"/>
          <w:sz w:val="32"/>
          <w:szCs w:val="32"/>
        </w:rPr>
        <w:t>,</w:t>
      </w:r>
      <w:r>
        <w:rPr>
          <w:sz w:val="32"/>
          <w:szCs w:val="32"/>
        </w:rPr>
        <w:t>813</w:t>
      </w:r>
      <w:r>
        <w:rPr>
          <w:rFonts w:hint="eastAsia"/>
          <w:sz w:val="32"/>
          <w:szCs w:val="32"/>
        </w:rPr>
        <w:t>件，占比</w:t>
      </w:r>
      <w:r>
        <w:rPr>
          <w:sz w:val="32"/>
          <w:szCs w:val="32"/>
        </w:rPr>
        <w:t>44.47</w:t>
      </w:r>
      <w:r>
        <w:rPr>
          <w:rFonts w:hint="eastAsia"/>
          <w:sz w:val="32"/>
          <w:szCs w:val="32"/>
        </w:rPr>
        <w:t>%。校外教育培训机构在面对消费者退款诉求时，往往利用格式合同抗辩，而其中的条款存在诸多对消费者不公平的内容，如隐藏“公司保留最终解释权”“协议一经签订，概不退款”“培训期间，出现任何安全事故概不负责”等不公平格式条款，或者合同含有其他退费的限制条件，且不采取加粗、加黑等合理的方式提示消费者。部分校外教育培训机构利用消费者合同意识淡薄，甚至不与消费者签订正式合同，或者销售人员代替消费者签订合同或者利用网络默认消费者同意协议内容。</w:t>
      </w:r>
    </w:p>
    <w:p>
      <w:pPr>
        <w:pStyle w:val="3"/>
        <w:rPr>
          <w:sz w:val="32"/>
          <w:szCs w:val="32"/>
        </w:rPr>
      </w:pPr>
      <w:r>
        <w:rPr>
          <w:rFonts w:hint="eastAsia"/>
          <w:sz w:val="32"/>
          <w:szCs w:val="32"/>
        </w:rPr>
        <w:t>（三）售后问题难解决</w:t>
      </w:r>
    </w:p>
    <w:p>
      <w:pPr>
        <w:ind w:firstLine="480"/>
        <w:rPr>
          <w:sz w:val="32"/>
          <w:szCs w:val="32"/>
        </w:rPr>
      </w:pPr>
      <w:r>
        <w:rPr>
          <w:rFonts w:hint="eastAsia"/>
          <w:sz w:val="32"/>
          <w:szCs w:val="32"/>
        </w:rPr>
        <w:t>售后服务是消费者投诉的第二大类别，2</w:t>
      </w:r>
      <w:r>
        <w:rPr>
          <w:sz w:val="32"/>
          <w:szCs w:val="32"/>
        </w:rPr>
        <w:t>021</w:t>
      </w:r>
      <w:r>
        <w:rPr>
          <w:rFonts w:hint="eastAsia"/>
          <w:sz w:val="32"/>
          <w:szCs w:val="32"/>
        </w:rPr>
        <w:t>年有关售后服务的</w:t>
      </w:r>
      <w:r>
        <w:rPr>
          <w:rFonts w:hint="eastAsia"/>
          <w:sz w:val="32"/>
          <w:szCs w:val="32"/>
          <w:lang w:val="en-US" w:eastAsia="zh-CN"/>
        </w:rPr>
        <w:t>校外教育培训</w:t>
      </w:r>
      <w:r>
        <w:rPr>
          <w:rFonts w:hint="eastAsia"/>
          <w:sz w:val="32"/>
          <w:szCs w:val="32"/>
        </w:rPr>
        <w:t>投诉</w:t>
      </w:r>
      <w:r>
        <w:rPr>
          <w:sz w:val="32"/>
          <w:szCs w:val="32"/>
        </w:rPr>
        <w:t>25</w:t>
      </w:r>
      <w:r>
        <w:rPr>
          <w:rFonts w:hint="eastAsia"/>
          <w:sz w:val="32"/>
          <w:szCs w:val="32"/>
        </w:rPr>
        <w:t>,</w:t>
      </w:r>
      <w:r>
        <w:rPr>
          <w:sz w:val="32"/>
          <w:szCs w:val="32"/>
        </w:rPr>
        <w:t>968</w:t>
      </w:r>
      <w:r>
        <w:rPr>
          <w:rFonts w:hint="eastAsia"/>
          <w:sz w:val="32"/>
          <w:szCs w:val="32"/>
        </w:rPr>
        <w:t>件，占比</w:t>
      </w:r>
      <w:r>
        <w:rPr>
          <w:sz w:val="32"/>
          <w:szCs w:val="32"/>
        </w:rPr>
        <w:t>32.25</w:t>
      </w:r>
      <w:r>
        <w:rPr>
          <w:rFonts w:hint="eastAsia"/>
          <w:sz w:val="32"/>
          <w:szCs w:val="32"/>
        </w:rPr>
        <w:t>%。校外教育培训领域的售后服务问题主要体现在三方面。一是售后服务渠道不畅通，有些校外教育培训机构特别是线上培训机构不重视售后服务，在消费者付费后“失联”，消费者有问题联系不上销售人员。二是培训质量是消费者投诉的主要内容，校外教育培训行业市场准入门槛低，部分校外教育培训机构配备的师资力量不一，从业人员流动性较大，培训质量参差不齐，严重影响服务品质，引发消费者投诉。三是售后问题特别是退费问题往往得不到妥善解决，退费难成教育培训最大顽疾。部分非学科类培训机构假借“双减”政策，关门停业，拒不退款；部分机构以各种理由拒绝或拖延退费，诱导消费者换课；部分培训机构退费条件苛刻，如以“超过退费有效期”为由不予退款，如规定消费者参加促销活动赠送的课程只能在购买课程消费完后使用，一旦申请退款，赠课、优惠等项目将自动取消。</w:t>
      </w:r>
    </w:p>
    <w:p>
      <w:pPr>
        <w:pStyle w:val="3"/>
        <w:rPr>
          <w:sz w:val="32"/>
          <w:szCs w:val="32"/>
        </w:rPr>
      </w:pPr>
      <w:r>
        <w:rPr>
          <w:rFonts w:hint="eastAsia"/>
          <w:sz w:val="32"/>
          <w:szCs w:val="32"/>
        </w:rPr>
        <w:t>（四）虚假宣传手段多</w:t>
      </w:r>
    </w:p>
    <w:p>
      <w:pPr>
        <w:ind w:firstLine="480"/>
        <w:rPr>
          <w:sz w:val="32"/>
          <w:szCs w:val="32"/>
        </w:rPr>
      </w:pPr>
      <w:r>
        <w:rPr>
          <w:rFonts w:hint="eastAsia"/>
          <w:sz w:val="32"/>
          <w:szCs w:val="32"/>
        </w:rPr>
        <w:t>虚假宣传是校外教育培训领域投诉的重要类别，2</w:t>
      </w:r>
      <w:r>
        <w:rPr>
          <w:sz w:val="32"/>
          <w:szCs w:val="32"/>
        </w:rPr>
        <w:t>021</w:t>
      </w:r>
      <w:r>
        <w:rPr>
          <w:rFonts w:hint="eastAsia"/>
          <w:sz w:val="32"/>
          <w:szCs w:val="32"/>
        </w:rPr>
        <w:t>年有关虚假宣传的</w:t>
      </w:r>
      <w:r>
        <w:rPr>
          <w:rFonts w:hint="eastAsia"/>
          <w:sz w:val="32"/>
          <w:szCs w:val="32"/>
          <w:lang w:val="en-US" w:eastAsia="zh-CN"/>
        </w:rPr>
        <w:t>校外教育培训投诉</w:t>
      </w:r>
      <w:r>
        <w:rPr>
          <w:sz w:val="32"/>
          <w:szCs w:val="32"/>
        </w:rPr>
        <w:t>5</w:t>
      </w:r>
      <w:r>
        <w:rPr>
          <w:rFonts w:hint="eastAsia"/>
          <w:sz w:val="32"/>
          <w:szCs w:val="32"/>
        </w:rPr>
        <w:t>,</w:t>
      </w:r>
      <w:r>
        <w:rPr>
          <w:sz w:val="32"/>
          <w:szCs w:val="32"/>
        </w:rPr>
        <w:t>918</w:t>
      </w:r>
      <w:r>
        <w:rPr>
          <w:rFonts w:hint="eastAsia"/>
          <w:sz w:val="32"/>
          <w:szCs w:val="32"/>
        </w:rPr>
        <w:t>件，占比</w:t>
      </w:r>
      <w:r>
        <w:rPr>
          <w:sz w:val="32"/>
          <w:szCs w:val="32"/>
        </w:rPr>
        <w:t>7.35</w:t>
      </w:r>
      <w:r>
        <w:rPr>
          <w:rFonts w:hint="eastAsia"/>
          <w:sz w:val="32"/>
          <w:szCs w:val="32"/>
        </w:rPr>
        <w:t>%。校外教育培训机构的虚假宣传主要有以下三个手段。一是校外教育培训机构虚构学员培训案例、师资力量和培训效果，编造消费者评价数据；二是夸大培训机构实力，实际教学质量与体验课、试听课相去甚远。特别是一些线上培训机构，宣传“智能交互、即学即用”，实际上只提供教学视频、电子教材。三是</w:t>
      </w:r>
      <w:r>
        <w:rPr>
          <w:rFonts w:hint="eastAsia"/>
          <w:bCs/>
          <w:sz w:val="32"/>
          <w:szCs w:val="32"/>
        </w:rPr>
        <w:t>部分校外教育培训机构</w:t>
      </w:r>
      <w:r>
        <w:rPr>
          <w:rFonts w:hint="eastAsia"/>
          <w:sz w:val="32"/>
          <w:szCs w:val="32"/>
        </w:rPr>
        <w:t>刻为售卖课程，刻意隐瞒部分职业资格证考试报名的条件限制（如必须大专以上学历或有一定相关工作经历人员才具备考试资格），诱导消费者缴费，甚至在有些消费者提出质疑后，承诺可以帮其伪造学历或工作经历。</w:t>
      </w:r>
    </w:p>
    <w:p>
      <w:pPr>
        <w:pStyle w:val="3"/>
        <w:rPr>
          <w:sz w:val="32"/>
          <w:szCs w:val="32"/>
        </w:rPr>
      </w:pPr>
      <w:r>
        <w:rPr>
          <w:rFonts w:hint="eastAsia"/>
          <w:sz w:val="32"/>
          <w:szCs w:val="32"/>
        </w:rPr>
        <w:t>（五）预付式消费风险大</w:t>
      </w:r>
    </w:p>
    <w:p>
      <w:pPr>
        <w:ind w:firstLine="480"/>
        <w:rPr>
          <w:sz w:val="32"/>
          <w:szCs w:val="32"/>
        </w:rPr>
      </w:pPr>
      <w:r>
        <w:rPr>
          <w:rFonts w:hint="eastAsia"/>
          <w:sz w:val="32"/>
          <w:szCs w:val="32"/>
        </w:rPr>
        <w:t>校外教育培训一般采取预付费式消费开展经营活动，如监管不严格，这种消费模式存在巨大隐患。一些校外教育培训机构收取大量预付费，后因经营不善、资金链断裂，倒闭、跑路后预付费用难以追讨。部分校外教育培训机构为规避“不得一次性收取超过3个月费用”的规定，采取买3个月赠3个月课程、分班次付款等方式，变相提高单次课程和总的培训费用，并设置课程有效期，规定消费者在一定期限之内完成培训。近年来兴起了利用“教育贷”进行教育培训费用支付的方式，部分消费者由于培训费用高、经济能力有限，会采用分期付款的方式缓解压力，但稍不注意就有陷入“套路贷”的可能，当消费者因无法获得培训或者和教育培训机构解除培训合同后，仍然需要向提供贷款的金融机构支付相应的贷款及利息。一些教育培训机构通常用“免息”等福利来吸引消费者，弱化教育贷本身的贷款属性和风险，而产生纠纷后消费者在举证时也难以证明教育机构存在误导或诱导的情况。</w:t>
      </w:r>
    </w:p>
    <w:p>
      <w:pPr>
        <w:ind w:firstLine="480"/>
        <w:rPr>
          <w:sz w:val="32"/>
          <w:szCs w:val="32"/>
        </w:rPr>
      </w:pPr>
    </w:p>
    <w:p>
      <w:pPr>
        <w:pStyle w:val="2"/>
        <w:ind w:firstLine="562"/>
        <w:rPr>
          <w:sz w:val="32"/>
          <w:szCs w:val="32"/>
        </w:rPr>
      </w:pPr>
      <w:r>
        <w:rPr>
          <w:rFonts w:hint="eastAsia"/>
          <w:sz w:val="32"/>
          <w:szCs w:val="32"/>
        </w:rPr>
        <w:t>四、我国校外教育培训领域消费者权益保护存在问题的原因分析</w:t>
      </w:r>
    </w:p>
    <w:p>
      <w:pPr>
        <w:ind w:firstLine="480"/>
        <w:rPr>
          <w:sz w:val="32"/>
          <w:szCs w:val="32"/>
        </w:rPr>
      </w:pPr>
      <w:r>
        <w:rPr>
          <w:rFonts w:hint="eastAsia"/>
          <w:sz w:val="32"/>
          <w:szCs w:val="32"/>
        </w:rPr>
        <w:t>随着校外教育培训行业整顿治理力度不断加大，消费者权益保护程度总体上得到了明显提升。但行业调整叠加疫情因素影响下，校外教育培训领域消费侵权不断、消费维权困难等现象仍然不容忽视，主要有以下几个方面原因：</w:t>
      </w:r>
    </w:p>
    <w:p>
      <w:pPr>
        <w:pStyle w:val="3"/>
        <w:rPr>
          <w:sz w:val="32"/>
          <w:szCs w:val="32"/>
        </w:rPr>
      </w:pPr>
      <w:r>
        <w:rPr>
          <w:rFonts w:hint="eastAsia"/>
          <w:sz w:val="32"/>
          <w:szCs w:val="32"/>
        </w:rPr>
        <w:t>（一）校外教育培训行业无序发展，部分校外教育培训机构漠视消费者权益</w:t>
      </w:r>
    </w:p>
    <w:p>
      <w:pPr>
        <w:ind w:firstLine="480"/>
        <w:rPr>
          <w:sz w:val="32"/>
          <w:szCs w:val="32"/>
        </w:rPr>
      </w:pPr>
      <w:r>
        <w:rPr>
          <w:sz w:val="32"/>
          <w:szCs w:val="32"/>
        </w:rPr>
        <w:t>20</w:t>
      </w:r>
      <w:r>
        <w:rPr>
          <w:rFonts w:hint="eastAsia"/>
          <w:sz w:val="32"/>
          <w:szCs w:val="32"/>
        </w:rPr>
        <w:t>世纪9</w:t>
      </w:r>
      <w:r>
        <w:rPr>
          <w:sz w:val="32"/>
          <w:szCs w:val="32"/>
        </w:rPr>
        <w:t>0</w:t>
      </w:r>
      <w:r>
        <w:rPr>
          <w:rFonts w:hint="eastAsia"/>
          <w:sz w:val="32"/>
          <w:szCs w:val="32"/>
        </w:rPr>
        <w:t>年代以来，我国校外教育培训行业迅猛发展，法规政策配套、政府监管未跟上步伐，加之行业进入门槛较低，整个行业呈现出中小型机构众多、良莠不齐、无序竞争的状态。在经济利益的驱动下，部分校外教育培训机构一味追求营利而忽视教育质量，虚假宣传、缺乏资质、超前教育、贩卖焦虑、价格欺诈等行业乱象不断，消费者的合法权益得不到保障。在我国有关监管部门开展的专项整治行动中，部分企业多次被罚。这其中包括校外教育培训领域的头部企业如学而思、新东方等，涉嫌虚假宣传、价格欺诈、违反合同法等，在线教育的先行者如猿辅导、作业帮等也在其列，涉嫌不当竞争、虚假宣传、违反合同法等。可见，我国校外教育培训机构守法意识薄弱，缺乏行业自律，漠视消费者权益。</w:t>
      </w:r>
    </w:p>
    <w:p>
      <w:pPr>
        <w:pStyle w:val="3"/>
        <w:rPr>
          <w:sz w:val="32"/>
          <w:szCs w:val="32"/>
        </w:rPr>
      </w:pPr>
      <w:r>
        <w:rPr>
          <w:rFonts w:hint="eastAsia"/>
          <w:sz w:val="32"/>
          <w:szCs w:val="32"/>
        </w:rPr>
        <w:t>（二）相关法规政策配套滞后，消费者维权依据不足</w:t>
      </w:r>
    </w:p>
    <w:p>
      <w:pPr>
        <w:ind w:firstLine="480"/>
        <w:rPr>
          <w:sz w:val="32"/>
          <w:szCs w:val="32"/>
        </w:rPr>
      </w:pPr>
      <w:r>
        <w:rPr>
          <w:rFonts w:hint="eastAsia"/>
          <w:sz w:val="32"/>
          <w:szCs w:val="32"/>
        </w:rPr>
        <w:t>总体看来，现有法规政策尚无法为校外教育培训领域消费者权益提供高级别、全方位的保驾护航。</w:t>
      </w:r>
    </w:p>
    <w:p>
      <w:pPr>
        <w:ind w:firstLine="480"/>
        <w:rPr>
          <w:sz w:val="32"/>
          <w:szCs w:val="32"/>
        </w:rPr>
      </w:pPr>
      <w:r>
        <w:rPr>
          <w:rFonts w:hint="eastAsia"/>
          <w:sz w:val="32"/>
          <w:szCs w:val="32"/>
        </w:rPr>
        <w:t>在法律制度层面，我国目前没有高级别、专项的校外教育培训领域消费者权益保护法律。2</w:t>
      </w:r>
      <w:r>
        <w:rPr>
          <w:sz w:val="32"/>
          <w:szCs w:val="32"/>
        </w:rPr>
        <w:t>014</w:t>
      </w:r>
      <w:r>
        <w:rPr>
          <w:rFonts w:hint="eastAsia"/>
          <w:sz w:val="32"/>
          <w:szCs w:val="32"/>
        </w:rPr>
        <w:t>施行的新《消法》只是对消费者权益保护进行了基础性、普遍性的规定，而校外教育培训机构兼具公益性和营利性双重属性，校外教育培训服务具有特殊性，在消费者权益保护方面也相应地具有特殊内容和要求。在教育领域，《教育法》认可民办教育的合法地位，《民办教育促进法》以及相关政策条例明确了校外教育培训机构的营利性，为规范民办教育机构提供了基本法律规范，但没有明确针对培训机构法律问题作出规定，导致其法律身份模糊，对于针对校外教育培训机构的管理条款也比较少，程序不够细化，且较为宽松</w:t>
      </w:r>
      <w:r>
        <w:rPr>
          <w:rStyle w:val="13"/>
          <w:sz w:val="32"/>
          <w:szCs w:val="32"/>
        </w:rPr>
        <w:footnoteReference w:id="8"/>
      </w:r>
      <w:r>
        <w:rPr>
          <w:rFonts w:hint="eastAsia"/>
          <w:sz w:val="32"/>
          <w:szCs w:val="32"/>
        </w:rPr>
        <w:t>。《未成年人保护法》基于保护未成年人的角度对涉及未成年人的校外教育培训机构提出了要求。</w:t>
      </w:r>
    </w:p>
    <w:p>
      <w:pPr>
        <w:ind w:firstLine="480"/>
        <w:rPr>
          <w:sz w:val="32"/>
          <w:szCs w:val="32"/>
        </w:rPr>
      </w:pPr>
      <w:r>
        <w:rPr>
          <w:rFonts w:hint="eastAsia"/>
          <w:sz w:val="32"/>
          <w:szCs w:val="32"/>
        </w:rPr>
        <w:t>在政策体系层面，教育部、市场监管总局等行政部门制定和发布的一系规范性文件，主要目的是规范校外教育培训机构特别是义务教育阶段校外培训机构的经营行为，有关消费民事处理方面相对不足，约束效力有所欠缺。国务院办公厅颁布的以《“双减”意见》为代表的纲领性文件，则更多的是指导性原则，未涉及校外教育培训机构违法违规行为的罚则制度。</w:t>
      </w:r>
    </w:p>
    <w:p>
      <w:pPr>
        <w:pStyle w:val="3"/>
        <w:rPr>
          <w:sz w:val="32"/>
          <w:szCs w:val="32"/>
        </w:rPr>
      </w:pPr>
      <w:r>
        <w:rPr>
          <w:rFonts w:hint="eastAsia"/>
          <w:sz w:val="32"/>
          <w:szCs w:val="32"/>
        </w:rPr>
        <w:t>（三）监督管理机制不够健全，消费者权益得不到有效保障</w:t>
      </w:r>
    </w:p>
    <w:p>
      <w:pPr>
        <w:ind w:firstLine="480"/>
        <w:rPr>
          <w:rFonts w:ascii="Arial" w:hAnsi="Arial" w:cs="Arial"/>
          <w:color w:val="191919"/>
          <w:sz w:val="32"/>
          <w:szCs w:val="32"/>
          <w:shd w:val="clear" w:color="auto" w:fill="FFFFFF"/>
        </w:rPr>
      </w:pPr>
      <w:r>
        <w:rPr>
          <w:rFonts w:hint="eastAsia"/>
          <w:sz w:val="32"/>
          <w:szCs w:val="32"/>
        </w:rPr>
        <w:t>在监管权责方面，校外教育培训治理涉及教育、市场监管、人社、人民银行等多部门职责，出现侵权行为和消费群体纠纷后各部门职责界定以及协同监管机制有待进一步明确。教育部门承担着大部分校外教育培训机构的治理工作，拥有执法权但没有执法队伍，执法专业性不足。要提高执法效率，需要与市场监管、公安、卫生、人社、人民银行等部门紧密配合，实现协同监管、联合执法。</w:t>
      </w:r>
    </w:p>
    <w:p>
      <w:pPr>
        <w:ind w:firstLine="480"/>
        <w:rPr>
          <w:rFonts w:ascii="Arial" w:hAnsi="Arial" w:cs="Arial"/>
          <w:color w:val="191919"/>
          <w:sz w:val="32"/>
          <w:szCs w:val="32"/>
          <w:shd w:val="clear" w:color="auto" w:fill="FFFFFF"/>
        </w:rPr>
      </w:pPr>
      <w:r>
        <w:rPr>
          <w:rFonts w:hint="eastAsia" w:ascii="Arial" w:hAnsi="Arial" w:cs="Arial"/>
          <w:color w:val="191919"/>
          <w:sz w:val="32"/>
          <w:szCs w:val="32"/>
          <w:shd w:val="clear" w:color="auto" w:fill="FFFFFF"/>
        </w:rPr>
        <w:t>同时，也存在监管范围不完善的问题。在校外教育培训机构的设立方面，行业准入门槛低，特别是对法人资质条件的限定，要求举办者提交资质证明、身份证明、个人存款证明等文件，但并没有对法人资格标准的相关规定，包括针对举办者学历背景、身体健康、文化素养等方面进行限定。在机构变更与终止方面，我国校外教育培训机构的退出机制还不够完善</w:t>
      </w:r>
      <w:r>
        <w:rPr>
          <w:rStyle w:val="13"/>
          <w:rFonts w:ascii="Arial" w:hAnsi="Arial" w:cs="Arial"/>
          <w:color w:val="191919"/>
          <w:sz w:val="32"/>
          <w:szCs w:val="32"/>
          <w:shd w:val="clear" w:color="auto" w:fill="FFFFFF"/>
        </w:rPr>
        <w:footnoteReference w:id="9"/>
      </w:r>
      <w:r>
        <w:rPr>
          <w:rFonts w:hint="eastAsia" w:ascii="Arial" w:hAnsi="Arial" w:cs="Arial"/>
          <w:color w:val="191919"/>
          <w:sz w:val="32"/>
          <w:szCs w:val="32"/>
          <w:shd w:val="clear" w:color="auto" w:fill="FFFFFF"/>
        </w:rPr>
        <w:t>。在教学教育方面，相关政策文件对教师资格、教材使用、教学时间等作出了具体规定，但监管难度较大。</w:t>
      </w:r>
    </w:p>
    <w:p>
      <w:pPr>
        <w:ind w:firstLine="480"/>
        <w:rPr>
          <w:sz w:val="32"/>
          <w:szCs w:val="32"/>
        </w:rPr>
      </w:pPr>
      <w:r>
        <w:rPr>
          <w:rFonts w:hint="eastAsia"/>
          <w:sz w:val="32"/>
          <w:szCs w:val="32"/>
        </w:rPr>
        <w:t>此外，校外教育培训机构监管活动预见性尚需提高，特别是目前众多培训机构寻求转型发展，相关部门需要提高预见性，抓早抓小，防止转型过程中消费者权益受到损害。</w:t>
      </w:r>
    </w:p>
    <w:p>
      <w:pPr>
        <w:pStyle w:val="3"/>
        <w:rPr>
          <w:sz w:val="32"/>
          <w:szCs w:val="32"/>
        </w:rPr>
      </w:pPr>
      <w:r>
        <w:rPr>
          <w:rFonts w:hint="eastAsia"/>
          <w:sz w:val="32"/>
          <w:szCs w:val="32"/>
        </w:rPr>
        <w:t>（四）校外教育培训消费环境不佳，消费者理性消费</w:t>
      </w:r>
      <w:r>
        <w:rPr>
          <w:rFonts w:hint="eastAsia"/>
          <w:sz w:val="32"/>
          <w:szCs w:val="32"/>
          <w:lang w:val="en-US" w:eastAsia="zh-CN"/>
        </w:rPr>
        <w:t>意识</w:t>
      </w:r>
      <w:r>
        <w:rPr>
          <w:rFonts w:hint="eastAsia"/>
          <w:sz w:val="32"/>
          <w:szCs w:val="32"/>
        </w:rPr>
        <w:t>、风险意识薄弱</w:t>
      </w:r>
    </w:p>
    <w:p>
      <w:pPr>
        <w:ind w:firstLine="480"/>
        <w:rPr>
          <w:sz w:val="32"/>
          <w:szCs w:val="32"/>
        </w:rPr>
      </w:pPr>
      <w:r>
        <w:rPr>
          <w:rFonts w:hint="eastAsia"/>
          <w:sz w:val="32"/>
          <w:szCs w:val="32"/>
        </w:rPr>
        <w:t>当前，我国消费者普遍盲目抱有“不能输在起跑线上”的心理，缺乏正确的教育观、就业观。校外教育培训机构紧紧拿捏消费者心态，为“教育内卷”“就业内卷”添柴加火，部分校外教育培训机构无视“教育是提高国民整体文化素质的公益事业”，唯利是图、制造焦虑、贩卖焦虑，一阵阵掀起“早教热”“培训热”“考证热”，极大地破坏了校外教育培训的消费环境。</w:t>
      </w:r>
    </w:p>
    <w:p>
      <w:pPr>
        <w:ind w:firstLine="480"/>
        <w:rPr>
          <w:sz w:val="32"/>
          <w:szCs w:val="32"/>
        </w:rPr>
      </w:pPr>
      <w:r>
        <w:rPr>
          <w:rFonts w:hint="eastAsia"/>
          <w:sz w:val="32"/>
          <w:szCs w:val="32"/>
        </w:rPr>
        <w:t>在这种焦虑情绪的影响下，消费者往往跟风消费、冲动消费，对培训机构发布的宣传信息缺乏理性判断，不了解国家或者当地教育部门出台的有关政策；在缴纳培训费用时，往往因为商家提供较高折扣而缴纳大额预付款；在签订合同时，不认真、不完全阅读合同条款，对退费、培训地点变更、培训是否达到效果等重要条款不予重视，接受不公平格式条款；与商家进行口头协议，未将口头承诺写入合同；发生消费纠纷时，往往因未保存好付款发票、消费记录、合同等有关证据，使合法权益难以得到有效保护。</w:t>
      </w:r>
    </w:p>
    <w:p>
      <w:pPr>
        <w:pStyle w:val="3"/>
        <w:rPr>
          <w:sz w:val="32"/>
          <w:szCs w:val="32"/>
        </w:rPr>
      </w:pPr>
      <w:r>
        <w:rPr>
          <w:rFonts w:hint="eastAsia"/>
          <w:sz w:val="32"/>
          <w:szCs w:val="32"/>
        </w:rPr>
        <w:t>（五）受疫情和行业政策</w:t>
      </w:r>
      <w:r>
        <w:rPr>
          <w:rFonts w:hint="eastAsia"/>
          <w:sz w:val="32"/>
          <w:szCs w:val="32"/>
          <w:lang w:val="en-US" w:eastAsia="zh-CN"/>
        </w:rPr>
        <w:t>影响</w:t>
      </w:r>
      <w:r>
        <w:rPr>
          <w:rFonts w:hint="eastAsia"/>
          <w:sz w:val="32"/>
          <w:szCs w:val="32"/>
        </w:rPr>
        <w:t>，消费者投诉案件增多</w:t>
      </w:r>
    </w:p>
    <w:p>
      <w:pPr>
        <w:ind w:firstLine="480"/>
        <w:rPr>
          <w:sz w:val="32"/>
          <w:szCs w:val="32"/>
        </w:rPr>
      </w:pPr>
      <w:r>
        <w:rPr>
          <w:rFonts w:hint="eastAsia"/>
          <w:sz w:val="32"/>
          <w:szCs w:val="32"/>
        </w:rPr>
        <w:t>近两年我国校外教育培训领域消费者投诉占服务类投诉的比重较大，2</w:t>
      </w:r>
      <w:r>
        <w:rPr>
          <w:sz w:val="32"/>
          <w:szCs w:val="32"/>
        </w:rPr>
        <w:t>020</w:t>
      </w:r>
      <w:r>
        <w:rPr>
          <w:rFonts w:hint="eastAsia"/>
          <w:sz w:val="32"/>
          <w:szCs w:val="32"/>
        </w:rPr>
        <w:t>年校外教育培训类投诉占服务类投诉比例为1</w:t>
      </w:r>
      <w:r>
        <w:rPr>
          <w:sz w:val="32"/>
          <w:szCs w:val="32"/>
        </w:rPr>
        <w:t>1.24</w:t>
      </w:r>
      <w:r>
        <w:rPr>
          <w:rFonts w:hint="eastAsia"/>
          <w:sz w:val="32"/>
          <w:szCs w:val="32"/>
        </w:rPr>
        <w:t>%，2</w:t>
      </w:r>
      <w:r>
        <w:rPr>
          <w:sz w:val="32"/>
          <w:szCs w:val="32"/>
        </w:rPr>
        <w:t>021</w:t>
      </w:r>
      <w:r>
        <w:rPr>
          <w:rFonts w:hint="eastAsia"/>
          <w:sz w:val="32"/>
          <w:szCs w:val="32"/>
        </w:rPr>
        <w:t>年该比例上升为</w:t>
      </w:r>
      <w:r>
        <w:rPr>
          <w:sz w:val="32"/>
          <w:szCs w:val="32"/>
        </w:rPr>
        <w:t>15.57</w:t>
      </w:r>
      <w:r>
        <w:rPr>
          <w:rFonts w:hint="eastAsia"/>
          <w:sz w:val="32"/>
          <w:szCs w:val="32"/>
        </w:rPr>
        <w:t>%。</w:t>
      </w:r>
    </w:p>
    <w:p>
      <w:pPr>
        <w:ind w:firstLine="482"/>
        <w:rPr>
          <w:sz w:val="32"/>
          <w:szCs w:val="32"/>
        </w:rPr>
      </w:pPr>
      <w:r>
        <w:rPr>
          <w:rFonts w:hint="eastAsia"/>
          <w:b/>
          <w:sz w:val="32"/>
          <w:szCs w:val="32"/>
        </w:rPr>
        <w:t>一是</w:t>
      </w:r>
      <w:r>
        <w:rPr>
          <w:rFonts w:hint="eastAsia"/>
          <w:sz w:val="32"/>
          <w:szCs w:val="32"/>
        </w:rPr>
        <w:t>受疫情或疫情防控措施影响。具体表现有：（1）部分线下服务无法开展，校外教育培训机构将线下服务转为线上，不符合消费者预期，引发消费投诉，一些机构单方变更服务协议，强制消费者同意。（2）部分校外教育培训机构门店无法正常营业，又无法转为线上课程，消费者要求退费，却被收取部分违约金，或产生退费难纠纷。（3）受疫情影响，一些经营不善的非学科类培训机构假借政策因素趁机“甩锅”“金蝉脱壳”，导致部分消费者面临“上课难”“退费难”。（4）消费者因疫情影响变动工作或经济困难，申请退课，经营者以各种理由拒绝退款。</w:t>
      </w:r>
    </w:p>
    <w:p>
      <w:pPr>
        <w:ind w:firstLine="482"/>
        <w:rPr>
          <w:sz w:val="32"/>
          <w:szCs w:val="32"/>
        </w:rPr>
      </w:pPr>
      <w:r>
        <w:rPr>
          <w:rFonts w:hint="eastAsia"/>
          <w:b/>
          <w:sz w:val="32"/>
          <w:szCs w:val="32"/>
        </w:rPr>
        <w:t>二是</w:t>
      </w:r>
      <w:r>
        <w:rPr>
          <w:rFonts w:hint="eastAsia"/>
          <w:sz w:val="32"/>
          <w:szCs w:val="32"/>
        </w:rPr>
        <w:t>受行业政策影响。2</w:t>
      </w:r>
      <w:r>
        <w:rPr>
          <w:sz w:val="32"/>
          <w:szCs w:val="32"/>
        </w:rPr>
        <w:t>021</w:t>
      </w:r>
      <w:r>
        <w:rPr>
          <w:rFonts w:hint="eastAsia"/>
          <w:sz w:val="32"/>
          <w:szCs w:val="32"/>
        </w:rPr>
        <w:t>年我国相关部门频繁出台政策，对校外教育培训行业进行规范治理，对</w:t>
      </w:r>
      <w:r>
        <w:rPr>
          <w:rFonts w:hint="eastAsia"/>
          <w:sz w:val="32"/>
          <w:szCs w:val="32"/>
          <w:lang w:val="en-US" w:eastAsia="zh-CN"/>
        </w:rPr>
        <w:t>部分</w:t>
      </w:r>
      <w:r>
        <w:rPr>
          <w:rFonts w:hint="eastAsia"/>
          <w:sz w:val="32"/>
          <w:szCs w:val="32"/>
        </w:rPr>
        <w:t>校外教育培训机构产生较大影响。具体表现有：（1）一些校外教育培训机构因资质不全等原因被整顿关停，消费者退费难。（2）一些校外教育培训机构或停业或转型，但善后处理不力，甚至“卷款跑路”，对消费者权益造成极大损害。（3）部分校外教育培训机构调整业务范围，在消费者要求退费时以收取违约金等理由强迫消费者转向其他课程，或故意拖延退费时长。</w:t>
      </w:r>
    </w:p>
    <w:p>
      <w:pPr>
        <w:ind w:firstLine="480"/>
        <w:rPr>
          <w:sz w:val="32"/>
          <w:szCs w:val="32"/>
        </w:rPr>
      </w:pPr>
    </w:p>
    <w:p>
      <w:pPr>
        <w:pStyle w:val="2"/>
        <w:ind w:firstLine="562"/>
        <w:rPr>
          <w:sz w:val="32"/>
          <w:szCs w:val="32"/>
        </w:rPr>
      </w:pPr>
      <w:r>
        <w:rPr>
          <w:rFonts w:hint="eastAsia"/>
          <w:sz w:val="32"/>
          <w:szCs w:val="32"/>
        </w:rPr>
        <w:t>五、完善校外教育培训领域消费权益保护工作的政策建议</w:t>
      </w:r>
    </w:p>
    <w:p>
      <w:pPr>
        <w:ind w:firstLine="480"/>
        <w:rPr>
          <w:sz w:val="32"/>
          <w:szCs w:val="32"/>
        </w:rPr>
      </w:pPr>
      <w:r>
        <w:rPr>
          <w:rFonts w:hint="eastAsia"/>
          <w:sz w:val="32"/>
          <w:szCs w:val="32"/>
        </w:rPr>
        <w:t>当前，校外培训作为教育培训体系的重要补充，仍有强大消费需求，随着相关政策逐步落地，行业调整伴生的消费风险还会陆续释放，强化校外教育培训消费者权益保护要引起高度重视。</w:t>
      </w:r>
    </w:p>
    <w:p>
      <w:pPr>
        <w:pStyle w:val="3"/>
        <w:rPr>
          <w:rFonts w:hint="default" w:eastAsia="仿宋"/>
          <w:sz w:val="32"/>
          <w:szCs w:val="32"/>
          <w:lang w:val="en-US" w:eastAsia="zh-CN"/>
        </w:rPr>
      </w:pPr>
      <w:r>
        <w:rPr>
          <w:rFonts w:hint="eastAsia"/>
          <w:sz w:val="32"/>
          <w:szCs w:val="32"/>
        </w:rPr>
        <w:t>（一）完善政策法规，</w:t>
      </w:r>
      <w:r>
        <w:rPr>
          <w:rFonts w:hint="eastAsia"/>
          <w:sz w:val="32"/>
          <w:szCs w:val="32"/>
          <w:lang w:val="en-US" w:eastAsia="zh-CN"/>
        </w:rPr>
        <w:t>强化</w:t>
      </w:r>
      <w:r>
        <w:rPr>
          <w:rFonts w:hint="eastAsia"/>
          <w:sz w:val="32"/>
          <w:szCs w:val="32"/>
        </w:rPr>
        <w:t>校外</w:t>
      </w:r>
      <w:r>
        <w:rPr>
          <w:rFonts w:hint="eastAsia"/>
          <w:sz w:val="32"/>
          <w:szCs w:val="32"/>
          <w:lang w:val="en-US" w:eastAsia="zh-CN"/>
        </w:rPr>
        <w:t>教育</w:t>
      </w:r>
      <w:r>
        <w:rPr>
          <w:rFonts w:hint="eastAsia"/>
          <w:sz w:val="32"/>
          <w:szCs w:val="32"/>
        </w:rPr>
        <w:t>培训</w:t>
      </w:r>
      <w:r>
        <w:rPr>
          <w:rFonts w:hint="eastAsia"/>
          <w:sz w:val="32"/>
          <w:szCs w:val="32"/>
          <w:lang w:val="en-US" w:eastAsia="zh-CN"/>
        </w:rPr>
        <w:t>消费者保护制度保障</w:t>
      </w:r>
    </w:p>
    <w:p>
      <w:pPr>
        <w:ind w:firstLine="482"/>
        <w:rPr>
          <w:sz w:val="32"/>
          <w:szCs w:val="32"/>
        </w:rPr>
      </w:pPr>
      <w:r>
        <w:rPr>
          <w:rFonts w:hint="eastAsia"/>
          <w:b/>
          <w:sz w:val="32"/>
          <w:szCs w:val="32"/>
        </w:rPr>
        <w:t>一是</w:t>
      </w:r>
      <w:r>
        <w:rPr>
          <w:rFonts w:hint="eastAsia"/>
          <w:sz w:val="32"/>
          <w:szCs w:val="32"/>
        </w:rPr>
        <w:t>加强协同治理。目前相关部门围绕校外教育培训机构纲领性文件《“双减”意见》，已经并将继续出台配套的实施细则以及相应的监管机制，诸多政策的有序实施、协同推进是《“双减”意见》切实有效落地的保障。消费者权益保护机构可以梳理校外教育培训相关法律法规、纲领性文件、实施细则等文件，结合消费者权益保护工作实际，研究发布校外教育培训领域消费者权益保护指南。</w:t>
      </w:r>
      <w:r>
        <w:rPr>
          <w:rFonts w:hint="eastAsia"/>
          <w:b/>
          <w:sz w:val="32"/>
          <w:szCs w:val="32"/>
        </w:rPr>
        <w:t>二是</w:t>
      </w:r>
      <w:r>
        <w:rPr>
          <w:rFonts w:hint="eastAsia"/>
          <w:sz w:val="32"/>
          <w:szCs w:val="32"/>
        </w:rPr>
        <w:t>完善相关立法。将国家现有政策中关于校外教育培训机构性质界定、设立审批、教育教学、教材使用、收费监管、服务合同、从业人员、法律责任等，探索以制定“社会教育促进法”的方式提升固化，推进校外教育培训机构规范化、法治化，为消费者权益保护提供更加全面、权威的维权依据。如2</w:t>
      </w:r>
      <w:r>
        <w:rPr>
          <w:sz w:val="32"/>
          <w:szCs w:val="32"/>
        </w:rPr>
        <w:t>016</w:t>
      </w:r>
      <w:r>
        <w:rPr>
          <w:rFonts w:hint="eastAsia"/>
          <w:sz w:val="32"/>
          <w:szCs w:val="32"/>
        </w:rPr>
        <w:t>年韩国修订实施了《私立教育机构设立、经营与课外辅导法》专门规制校外教育培训机构，包含立法宗旨、监管对象、经营者权利与义务、监管内容、政府管理职责、法律责任等内容，该法对课外辅导机构的设立、教学设置、教师资格、费用等进行全面立法规制，促进校外教育培训机构的合法化运行</w:t>
      </w:r>
      <w:r>
        <w:rPr>
          <w:rStyle w:val="13"/>
          <w:sz w:val="32"/>
          <w:szCs w:val="32"/>
        </w:rPr>
        <w:footnoteReference w:id="10"/>
      </w:r>
      <w:r>
        <w:rPr>
          <w:rFonts w:hint="eastAsia"/>
          <w:sz w:val="32"/>
          <w:szCs w:val="32"/>
        </w:rPr>
        <w:t>。</w:t>
      </w:r>
    </w:p>
    <w:p>
      <w:pPr>
        <w:pStyle w:val="3"/>
        <w:rPr>
          <w:sz w:val="32"/>
          <w:szCs w:val="32"/>
        </w:rPr>
      </w:pPr>
      <w:r>
        <w:rPr>
          <w:rFonts w:hint="eastAsia"/>
          <w:sz w:val="32"/>
          <w:szCs w:val="32"/>
        </w:rPr>
        <w:t>（二）加强监管协调，形成长效监管机制</w:t>
      </w:r>
    </w:p>
    <w:p>
      <w:pPr>
        <w:ind w:firstLine="480"/>
        <w:rPr>
          <w:sz w:val="32"/>
          <w:szCs w:val="32"/>
        </w:rPr>
      </w:pPr>
      <w:r>
        <w:rPr>
          <w:rFonts w:hint="eastAsia"/>
          <w:bCs/>
          <w:sz w:val="32"/>
          <w:szCs w:val="32"/>
        </w:rPr>
        <w:t>进一步明确</w:t>
      </w:r>
      <w:r>
        <w:rPr>
          <w:rFonts w:hint="eastAsia"/>
          <w:bCs/>
          <w:sz w:val="32"/>
          <w:szCs w:val="32"/>
          <w:lang w:val="en-US" w:eastAsia="zh-CN"/>
        </w:rPr>
        <w:t>校外教育培训</w:t>
      </w:r>
      <w:r>
        <w:rPr>
          <w:rFonts w:hint="eastAsia"/>
          <w:bCs/>
          <w:sz w:val="32"/>
          <w:szCs w:val="32"/>
        </w:rPr>
        <w:t>监管主体及其职责，加强监管体系内外部的沟通协调，充实基层执法力量，提高执法人员法律素养。建立日常监管执法机制，在阶段性专项整治行动之外，加强行业发展规律研究，建立风险研判、预警、处置长效化机制。加</w:t>
      </w:r>
      <w:r>
        <w:rPr>
          <w:rFonts w:hint="eastAsia"/>
          <w:sz w:val="32"/>
          <w:szCs w:val="32"/>
        </w:rPr>
        <w:t>大培训机构违法行为查处力度，保障</w:t>
      </w:r>
      <w:r>
        <w:rPr>
          <w:rFonts w:hint="eastAsia"/>
          <w:sz w:val="32"/>
          <w:szCs w:val="32"/>
          <w:lang w:val="en-US" w:eastAsia="zh-CN"/>
        </w:rPr>
        <w:t>消费者</w:t>
      </w:r>
      <w:r>
        <w:rPr>
          <w:rFonts w:hint="eastAsia"/>
          <w:sz w:val="32"/>
          <w:szCs w:val="32"/>
        </w:rPr>
        <w:t>预付资金安全，提高违法成本。</w:t>
      </w:r>
    </w:p>
    <w:p>
      <w:pPr>
        <w:pStyle w:val="3"/>
        <w:rPr>
          <w:sz w:val="32"/>
          <w:szCs w:val="32"/>
        </w:rPr>
      </w:pPr>
      <w:r>
        <w:rPr>
          <w:rFonts w:hint="eastAsia"/>
          <w:sz w:val="32"/>
          <w:szCs w:val="32"/>
        </w:rPr>
        <w:t>（三）利用科技手段，提升消费纠纷解决效率</w:t>
      </w:r>
    </w:p>
    <w:p>
      <w:pPr>
        <w:ind w:firstLine="480"/>
        <w:rPr>
          <w:sz w:val="32"/>
          <w:szCs w:val="32"/>
        </w:rPr>
      </w:pPr>
      <w:r>
        <w:rPr>
          <w:rFonts w:hint="eastAsia"/>
          <w:sz w:val="32"/>
          <w:szCs w:val="32"/>
        </w:rPr>
        <w:t>随着线上校外教育培训市场的规模扩大，传统的纠纷解决机制无法应对当下校外教育培训市场日趋增长的纠纷。投诉、诉讼、仲裁、调解等传统手段费用高、耗时长、效率低，部分消费者很难承担，部分消费者放弃维权，有些解决结果往往难以令人满意。</w:t>
      </w:r>
      <w:r>
        <w:rPr>
          <w:sz w:val="32"/>
          <w:szCs w:val="32"/>
        </w:rPr>
        <w:t>因此，</w:t>
      </w:r>
      <w:r>
        <w:rPr>
          <w:rFonts w:hint="eastAsia"/>
          <w:sz w:val="32"/>
          <w:szCs w:val="32"/>
        </w:rPr>
        <w:t>相关行政部门、消费者权益保护机构等亟需创新纠纷解决机制，作为目前机制的补充。考虑大数据、云计算、人工智能等新兴技术手段可被用于解决纠纷的场景，促进形成更加高效的纠纷解决机制，有效提升校外教育培训领域消费纠纷的解决速度和消费者体验。</w:t>
      </w:r>
    </w:p>
    <w:p>
      <w:pPr>
        <w:pStyle w:val="3"/>
        <w:rPr>
          <w:sz w:val="32"/>
          <w:szCs w:val="32"/>
        </w:rPr>
      </w:pPr>
      <w:r>
        <w:rPr>
          <w:rFonts w:hint="eastAsia"/>
          <w:sz w:val="32"/>
          <w:szCs w:val="32"/>
        </w:rPr>
        <w:t>（四）强化社会保护，营造良好消费环境</w:t>
      </w:r>
    </w:p>
    <w:p>
      <w:pPr>
        <w:ind w:firstLine="482"/>
        <w:rPr>
          <w:sz w:val="32"/>
          <w:szCs w:val="32"/>
        </w:rPr>
      </w:pPr>
      <w:r>
        <w:rPr>
          <w:rFonts w:hint="eastAsia"/>
          <w:b/>
          <w:sz w:val="32"/>
          <w:szCs w:val="32"/>
        </w:rPr>
        <w:t>一是</w:t>
      </w:r>
      <w:r>
        <w:rPr>
          <w:rFonts w:hint="eastAsia"/>
          <w:sz w:val="32"/>
          <w:szCs w:val="32"/>
        </w:rPr>
        <w:t>发挥行业组织自律作用。可授予行业协会协助审查申办材料，参与监督过程和年度年检评优等工作。行业协会加强研究、改进、调整本行业各项相关的相关政策、发展规划，有效规范企业行为。组织加强行业自律，排斥不良经营行为，支持、参与消费者权益保护活动，倡导尊重消费者权益，促进行业内企业履行社会责任，保护消费者权益。</w:t>
      </w:r>
      <w:r>
        <w:rPr>
          <w:rFonts w:hint="eastAsia"/>
          <w:b/>
          <w:sz w:val="32"/>
          <w:szCs w:val="32"/>
        </w:rPr>
        <w:t>二是</w:t>
      </w:r>
      <w:r>
        <w:rPr>
          <w:rFonts w:hint="eastAsia"/>
          <w:sz w:val="32"/>
          <w:szCs w:val="32"/>
        </w:rPr>
        <w:t>发挥消费者协会社会监督作用。支持其依法履行参与立法、社会监督、纠纷调解、公益诉讼、警示教育等各项职能，不断创新工作机制，加大社会保护力度。</w:t>
      </w:r>
      <w:r>
        <w:rPr>
          <w:rFonts w:hint="eastAsia"/>
          <w:b/>
          <w:sz w:val="32"/>
          <w:szCs w:val="32"/>
        </w:rPr>
        <w:t>三是</w:t>
      </w:r>
      <w:r>
        <w:rPr>
          <w:rFonts w:hint="eastAsia"/>
          <w:sz w:val="32"/>
          <w:szCs w:val="32"/>
        </w:rPr>
        <w:t>发挥新闻媒介的监督作用。广播、电视、报刊等新闻媒介要充分发挥监督作用，对违法违规的校外教育培训机构进行曝光，对典型的校外教育培训机构损害消费者权益的案件予以曝光，警示不法经营者并提醒广大消费者，充分发挥新闻媒介的监督作用，形成强大的舆论威慑力量。</w:t>
      </w:r>
    </w:p>
    <w:p>
      <w:pPr>
        <w:pStyle w:val="3"/>
        <w:rPr>
          <w:sz w:val="32"/>
          <w:szCs w:val="32"/>
        </w:rPr>
      </w:pPr>
      <w:r>
        <w:rPr>
          <w:rFonts w:hint="eastAsia"/>
          <w:sz w:val="32"/>
          <w:szCs w:val="32"/>
        </w:rPr>
        <w:t>（五）加快普及新政策，提高消费者维权意识</w:t>
      </w:r>
    </w:p>
    <w:p>
      <w:pPr>
        <w:ind w:firstLine="482"/>
        <w:rPr>
          <w:sz w:val="32"/>
          <w:szCs w:val="32"/>
        </w:rPr>
      </w:pPr>
      <w:r>
        <w:rPr>
          <w:rFonts w:hint="eastAsia"/>
          <w:b/>
          <w:sz w:val="32"/>
          <w:szCs w:val="32"/>
        </w:rPr>
        <w:t>一是</w:t>
      </w:r>
      <w:r>
        <w:rPr>
          <w:rFonts w:hint="eastAsia"/>
          <w:sz w:val="32"/>
          <w:szCs w:val="32"/>
        </w:rPr>
        <w:t>加强对消费者宣传教育，优化消费环境。各级市场监管部门和消协组织，将与校外教育培训机构有关的法律、政策作为线上线下普法宣传的重要内容，使消费者知晓自身的合法权利。</w:t>
      </w:r>
      <w:r>
        <w:rPr>
          <w:rFonts w:hint="eastAsia"/>
          <w:b/>
          <w:sz w:val="32"/>
          <w:szCs w:val="32"/>
        </w:rPr>
        <w:t>二是</w:t>
      </w:r>
      <w:r>
        <w:rPr>
          <w:rFonts w:hint="eastAsia"/>
          <w:sz w:val="32"/>
          <w:szCs w:val="32"/>
          <w:lang w:val="en-US" w:eastAsia="zh-CN"/>
        </w:rPr>
        <w:t>引导</w:t>
      </w:r>
      <w:r>
        <w:rPr>
          <w:rFonts w:hint="eastAsia"/>
          <w:sz w:val="32"/>
          <w:szCs w:val="32"/>
        </w:rPr>
        <w:t>消费者树立正确教育观，理性科学消费。</w:t>
      </w:r>
      <w:r>
        <w:rPr>
          <w:rFonts w:hint="eastAsia"/>
          <w:sz w:val="32"/>
          <w:szCs w:val="32"/>
          <w:lang w:val="en-US" w:eastAsia="zh-CN"/>
        </w:rPr>
        <w:t>引导</w:t>
      </w:r>
      <w:r>
        <w:rPr>
          <w:rFonts w:hint="eastAsia"/>
          <w:sz w:val="32"/>
          <w:szCs w:val="32"/>
        </w:rPr>
        <w:t>消费者主动加强校外教育培训相关服务的知识学习，了解国家对校外教育培训机构的相关政策；签订合同前要认真核查校外教育培训机构的资质、师资力量等；认真阅读合同，明确培训范围、费用、退费程序、师资、培训时间、培训地点、违约责任等；</w:t>
      </w:r>
      <w:r>
        <w:rPr>
          <w:rFonts w:hint="eastAsia"/>
          <w:sz w:val="32"/>
          <w:szCs w:val="32"/>
          <w:lang w:val="en-US" w:eastAsia="zh-CN"/>
        </w:rPr>
        <w:t>引导</w:t>
      </w:r>
      <w:r>
        <w:rPr>
          <w:rFonts w:hint="eastAsia"/>
          <w:sz w:val="32"/>
          <w:szCs w:val="32"/>
        </w:rPr>
        <w:t>消费者在选择校外教育培训机构时尽量选择短期付款方式，避免一次性大额投入，要仔细查看分期付款合同，严防分期变贷款，谨慎选择或不选择“培训贷”等信贷产品；不与个人签订合同并支付款项，消费过程中索要并保存好发票、消费记录、合同等相关证据；</w:t>
      </w:r>
      <w:r>
        <w:rPr>
          <w:rFonts w:hint="eastAsia"/>
          <w:sz w:val="32"/>
          <w:szCs w:val="32"/>
          <w:lang w:val="en-US" w:eastAsia="zh-CN"/>
        </w:rPr>
        <w:t>引导</w:t>
      </w:r>
      <w:r>
        <w:rPr>
          <w:rFonts w:hint="eastAsia"/>
          <w:sz w:val="32"/>
          <w:szCs w:val="32"/>
        </w:rPr>
        <w:t>消费者理性消费，不要相信“包过”“命题人授课”“通过率百分百”“包教包会”等过度宣传、虚假宣传。</w:t>
      </w:r>
    </w:p>
    <w:p>
      <w:pPr>
        <w:pStyle w:val="3"/>
        <w:rPr>
          <w:sz w:val="32"/>
          <w:szCs w:val="32"/>
        </w:rPr>
      </w:pPr>
      <w:r>
        <w:rPr>
          <w:rFonts w:hint="eastAsia"/>
          <w:sz w:val="32"/>
          <w:szCs w:val="32"/>
        </w:rPr>
        <w:t>（六）加强</w:t>
      </w:r>
      <w:r>
        <w:rPr>
          <w:rFonts w:hint="eastAsia"/>
          <w:sz w:val="32"/>
          <w:szCs w:val="32"/>
          <w:lang w:val="en-US" w:eastAsia="zh-CN"/>
        </w:rPr>
        <w:t>行业自律</w:t>
      </w:r>
      <w:r>
        <w:rPr>
          <w:rFonts w:hint="eastAsia"/>
          <w:sz w:val="32"/>
          <w:szCs w:val="32"/>
        </w:rPr>
        <w:t>，促使企业树立社会责任</w:t>
      </w:r>
    </w:p>
    <w:p>
      <w:pPr>
        <w:ind w:firstLine="480"/>
        <w:rPr>
          <w:sz w:val="32"/>
          <w:szCs w:val="32"/>
        </w:rPr>
      </w:pPr>
      <w:r>
        <w:rPr>
          <w:rFonts w:hint="eastAsia"/>
          <w:sz w:val="32"/>
          <w:szCs w:val="32"/>
        </w:rPr>
        <w:t>消费者合法权益要得到切实保护，归根到底要求企业负起相应的社会责任，本着诚信经营的精神，为广大消费者提供质量可靠、价格合理的商品和服务。因此，要引导校外教育培训机构合理定价、规范服务</w:t>
      </w:r>
      <w:r>
        <w:rPr>
          <w:rFonts w:hint="eastAsia"/>
          <w:sz w:val="32"/>
          <w:szCs w:val="32"/>
          <w:lang w:eastAsia="zh-CN"/>
        </w:rPr>
        <w:t>，</w:t>
      </w:r>
      <w:r>
        <w:rPr>
          <w:rFonts w:hint="eastAsia"/>
          <w:sz w:val="32"/>
          <w:szCs w:val="32"/>
        </w:rPr>
        <w:t>改进其营销哲学，将消费者至上理念融入日常经营管理。校外教育培训机构应严格落实国家以及行业规定的场地、设施、消防等安全风险防范要求</w:t>
      </w:r>
      <w:r>
        <w:rPr>
          <w:rFonts w:hint="eastAsia"/>
          <w:sz w:val="32"/>
          <w:szCs w:val="32"/>
          <w:lang w:eastAsia="zh-CN"/>
        </w:rPr>
        <w:t>，</w:t>
      </w:r>
      <w:r>
        <w:rPr>
          <w:rFonts w:hint="eastAsia"/>
          <w:sz w:val="32"/>
          <w:szCs w:val="32"/>
        </w:rPr>
        <w:t>持续开展</w:t>
      </w:r>
      <w:r>
        <w:rPr>
          <w:rFonts w:hint="eastAsia"/>
          <w:sz w:val="32"/>
          <w:szCs w:val="32"/>
          <w:lang w:val="en-US" w:eastAsia="zh-CN"/>
        </w:rPr>
        <w:t>法</w:t>
      </w:r>
      <w:bookmarkStart w:id="0" w:name="_GoBack"/>
      <w:bookmarkEnd w:id="0"/>
      <w:r>
        <w:rPr>
          <w:rFonts w:hint="eastAsia"/>
          <w:sz w:val="32"/>
          <w:szCs w:val="32"/>
          <w:lang w:val="en-US" w:eastAsia="zh-CN"/>
        </w:rPr>
        <w:t>律意识、</w:t>
      </w:r>
      <w:r>
        <w:rPr>
          <w:rFonts w:hint="eastAsia"/>
          <w:sz w:val="32"/>
          <w:szCs w:val="32"/>
        </w:rPr>
        <w:t>责任意识培训教育，</w:t>
      </w:r>
      <w:r>
        <w:rPr>
          <w:rFonts w:hint="eastAsia"/>
          <w:sz w:val="32"/>
          <w:szCs w:val="32"/>
          <w:lang w:val="en-US" w:eastAsia="zh-CN"/>
        </w:rPr>
        <w:t>切实</w:t>
      </w:r>
      <w:r>
        <w:rPr>
          <w:rFonts w:hint="eastAsia"/>
          <w:sz w:val="32"/>
          <w:szCs w:val="32"/>
        </w:rPr>
        <w:t>灌输给每一位管理者和员工；做好业务培训，提升管理者和教师的业务水平，为消费者提供高质量的培训服务。支持校外教育培训机构在内部设立</w:t>
      </w:r>
      <w:r>
        <w:rPr>
          <w:sz w:val="32"/>
          <w:szCs w:val="32"/>
        </w:rPr>
        <w:t>合规部门</w:t>
      </w:r>
      <w:r>
        <w:rPr>
          <w:rFonts w:hint="eastAsia"/>
          <w:sz w:val="32"/>
          <w:szCs w:val="32"/>
        </w:rPr>
        <w:t>、</w:t>
      </w:r>
      <w:r>
        <w:rPr>
          <w:sz w:val="32"/>
          <w:szCs w:val="32"/>
        </w:rPr>
        <w:t>售后服务部门等与消费者权益相关的机构</w:t>
      </w:r>
      <w:r>
        <w:rPr>
          <w:rFonts w:hint="eastAsia"/>
          <w:sz w:val="32"/>
          <w:szCs w:val="32"/>
        </w:rPr>
        <w:t>，</w:t>
      </w:r>
      <w:r>
        <w:rPr>
          <w:sz w:val="32"/>
          <w:szCs w:val="32"/>
        </w:rPr>
        <w:t>以监督企业经营行为、检验</w:t>
      </w:r>
      <w:r>
        <w:rPr>
          <w:rFonts w:hint="eastAsia"/>
          <w:sz w:val="32"/>
          <w:szCs w:val="32"/>
        </w:rPr>
        <w:t>服务</w:t>
      </w:r>
      <w:r>
        <w:rPr>
          <w:sz w:val="32"/>
          <w:szCs w:val="32"/>
        </w:rPr>
        <w:t>质量、为消费者提供咨询、解决消费者</w:t>
      </w:r>
      <w:r>
        <w:rPr>
          <w:rFonts w:hint="eastAsia"/>
          <w:sz w:val="32"/>
          <w:szCs w:val="32"/>
        </w:rPr>
        <w:t>消费中</w:t>
      </w:r>
      <w:r>
        <w:rPr>
          <w:sz w:val="32"/>
          <w:szCs w:val="32"/>
        </w:rPr>
        <w:t>的问题。</w:t>
      </w:r>
      <w:r>
        <w:rPr>
          <w:rFonts w:hint="eastAsia"/>
          <w:sz w:val="32"/>
          <w:szCs w:val="32"/>
        </w:rPr>
        <w:t>校外教育培训机构</w:t>
      </w:r>
      <w:r>
        <w:rPr>
          <w:sz w:val="32"/>
          <w:szCs w:val="32"/>
        </w:rPr>
        <w:t>要建立和完善消费者投诉体系和投诉机制</w:t>
      </w:r>
      <w:r>
        <w:rPr>
          <w:rFonts w:hint="eastAsia"/>
          <w:sz w:val="32"/>
          <w:szCs w:val="32"/>
        </w:rPr>
        <w:t>，</w:t>
      </w:r>
      <w:r>
        <w:rPr>
          <w:sz w:val="32"/>
          <w:szCs w:val="32"/>
        </w:rPr>
        <w:t>倾听消费者的意见</w:t>
      </w:r>
      <w:r>
        <w:rPr>
          <w:rFonts w:hint="eastAsia"/>
          <w:sz w:val="32"/>
          <w:szCs w:val="32"/>
        </w:rPr>
        <w:t>，</w:t>
      </w:r>
      <w:r>
        <w:rPr>
          <w:sz w:val="32"/>
          <w:szCs w:val="32"/>
        </w:rPr>
        <w:t>及时回应消费者投诉</w:t>
      </w:r>
      <w:r>
        <w:rPr>
          <w:rFonts w:hint="eastAsia"/>
          <w:sz w:val="32"/>
          <w:szCs w:val="32"/>
        </w:rPr>
        <w:t>，</w:t>
      </w:r>
      <w:r>
        <w:rPr>
          <w:sz w:val="32"/>
          <w:szCs w:val="32"/>
        </w:rPr>
        <w:t>妥善解决企业对消费者权益的损害问题。</w:t>
      </w:r>
    </w:p>
    <w:p>
      <w:pPr>
        <w:widowControl/>
        <w:spacing w:line="240" w:lineRule="auto"/>
        <w:ind w:firstLine="0" w:firstLineChars="0"/>
        <w:jc w:val="left"/>
        <w:rPr>
          <w:sz w:val="32"/>
          <w:szCs w:val="32"/>
        </w:rPr>
      </w:pPr>
    </w:p>
    <w:p>
      <w:pPr>
        <w:ind w:firstLine="480"/>
      </w:pP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17214"/>
    </w:sdtPr>
    <w:sdtContent>
      <w:p>
        <w:pPr>
          <w:pStyle w:val="6"/>
          <w:ind w:firstLine="360"/>
          <w:jc w:val="center"/>
        </w:pPr>
        <w:r>
          <w:fldChar w:fldCharType="begin"/>
        </w:r>
        <w:r>
          <w:instrText xml:space="preserve"> PAGE   \* MERGEFORMAT </w:instrText>
        </w:r>
        <w:r>
          <w:fldChar w:fldCharType="separate"/>
        </w:r>
        <w:r>
          <w:rPr>
            <w:lang w:val="zh-CN"/>
          </w:rPr>
          <w:t>18</w:t>
        </w:r>
        <w:r>
          <w:rPr>
            <w:lang w:val="zh-CN"/>
          </w:rPr>
          <w:fldChar w:fldCharType="end"/>
        </w:r>
      </w:p>
    </w:sdtContent>
  </w:sdt>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8"/>
        <w:ind w:firstLine="360"/>
      </w:pPr>
      <w:r>
        <w:rPr>
          <w:rStyle w:val="13"/>
        </w:rPr>
        <w:footnoteRef/>
      </w:r>
      <w:r>
        <w:rPr>
          <w:rFonts w:hint="eastAsia"/>
        </w:rPr>
        <w:t>数据来源：前瞻产业研究院《“双减”背景下，2</w:t>
      </w:r>
      <w:r>
        <w:t>021</w:t>
      </w:r>
      <w:r>
        <w:rPr>
          <w:rFonts w:hint="eastAsia"/>
        </w:rPr>
        <w:t>年中国校外培训研究报告》</w:t>
      </w:r>
    </w:p>
  </w:footnote>
  <w:footnote w:id="1">
    <w:p>
      <w:pPr>
        <w:pStyle w:val="8"/>
        <w:ind w:firstLine="360"/>
      </w:pPr>
      <w:r>
        <w:rPr>
          <w:rStyle w:val="13"/>
        </w:rPr>
        <w:footnoteRef/>
      </w:r>
      <w:r>
        <w:rPr>
          <w:rFonts w:hint="eastAsia"/>
        </w:rPr>
        <w:t>受新冠疫情影响，2</w:t>
      </w:r>
      <w:r>
        <w:t>020</w:t>
      </w:r>
      <w:r>
        <w:rPr>
          <w:rFonts w:hint="eastAsia"/>
        </w:rPr>
        <w:t>年居民人均教育文化娱乐消费支出较2</w:t>
      </w:r>
      <w:r>
        <w:t>019</w:t>
      </w:r>
      <w:r>
        <w:rPr>
          <w:rFonts w:hint="eastAsia"/>
        </w:rPr>
        <w:t>年有所下降，2</w:t>
      </w:r>
      <w:r>
        <w:t>019</w:t>
      </w:r>
      <w:r>
        <w:rPr>
          <w:rFonts w:hint="eastAsia"/>
        </w:rPr>
        <w:t>年我国居民人均教育文化娱乐消费支出为2</w:t>
      </w:r>
      <w:r>
        <w:t>513</w:t>
      </w:r>
      <w:r>
        <w:rPr>
          <w:rFonts w:hint="eastAsia"/>
        </w:rPr>
        <w:t>元。</w:t>
      </w:r>
    </w:p>
  </w:footnote>
  <w:footnote w:id="2">
    <w:p>
      <w:pPr>
        <w:pStyle w:val="8"/>
        <w:ind w:firstLine="360"/>
      </w:pPr>
      <w:r>
        <w:rPr>
          <w:rStyle w:val="13"/>
        </w:rPr>
        <w:footnoteRef/>
      </w:r>
      <w:r>
        <w:rPr>
          <w:rFonts w:hint="eastAsia"/>
        </w:rPr>
        <w:t>丁雅诵.规范发展是校外培训行业的必答题，人民日报，</w:t>
      </w:r>
      <w:r>
        <w:t>2021-06-24</w:t>
      </w:r>
    </w:p>
  </w:footnote>
  <w:footnote w:id="3">
    <w:p>
      <w:pPr>
        <w:pStyle w:val="8"/>
        <w:ind w:firstLine="360"/>
      </w:pPr>
      <w:r>
        <w:footnoteRef/>
      </w:r>
      <w:r>
        <w:fldChar w:fldCharType="begin"/>
      </w:r>
      <w:r>
        <w:instrText xml:space="preserve"> HYPERLINK "http://www.moe.gov.cn/fbh/live/2021/53899/sfcl/202112/t20211221_588733.html" </w:instrText>
      </w:r>
      <w:r>
        <w:fldChar w:fldCharType="separate"/>
      </w:r>
      <w:r>
        <w:t>教育部校外教育培训监管司：坚持以人民为中心发展理念扎实开展校外培训机构治理 - 中华人民共和国教育部政府门户网站 (moe.gov.cn)</w:t>
      </w:r>
      <w:r>
        <w:fldChar w:fldCharType="end"/>
      </w:r>
    </w:p>
  </w:footnote>
  <w:footnote w:id="4">
    <w:p>
      <w:pPr>
        <w:pStyle w:val="8"/>
        <w:ind w:firstLine="360"/>
      </w:pPr>
      <w:r>
        <w:rPr>
          <w:rStyle w:val="13"/>
        </w:rPr>
        <w:footnoteRef/>
      </w:r>
      <w:r>
        <w:fldChar w:fldCharType="begin"/>
      </w:r>
      <w:r>
        <w:instrText xml:space="preserve"> HYPERLINK "http://www.moe.gov.cn/fbh/live/2021/53899/sfcl/202112/t20211221_588732.html" </w:instrText>
      </w:r>
      <w:r>
        <w:fldChar w:fldCharType="separate"/>
      </w:r>
      <w:r>
        <w:t>教育部教育督导局（国务院教育督导委员会办公室）：“双减”督导工作情况 - 中华人民共和国教育部政府门户网站 (moe.gov.cn)</w:t>
      </w:r>
      <w:r>
        <w:fldChar w:fldCharType="end"/>
      </w:r>
    </w:p>
  </w:footnote>
  <w:footnote w:id="5">
    <w:p>
      <w:pPr>
        <w:pStyle w:val="8"/>
        <w:ind w:firstLine="360"/>
      </w:pPr>
      <w:r>
        <w:rPr>
          <w:rStyle w:val="13"/>
        </w:rPr>
        <w:footnoteRef/>
      </w:r>
      <w:r>
        <w:t>陈敦：贯彻落实“双减”政策修订培训合同示范文本 - 中华人民共和国教育部政府门户网站 (moe.gov.cn)</w:t>
      </w:r>
    </w:p>
  </w:footnote>
  <w:footnote w:id="6">
    <w:p>
      <w:pPr>
        <w:pStyle w:val="8"/>
        <w:ind w:firstLine="360"/>
        <w:jc w:val="both"/>
      </w:pPr>
      <w:r>
        <w:rPr>
          <w:rStyle w:val="13"/>
        </w:rPr>
        <w:footnoteRef/>
      </w:r>
      <w:r>
        <w:rPr>
          <w:rFonts w:hint="eastAsia"/>
        </w:rPr>
        <w:t>详见2021年十大消费维权舆情热点（中国消费者协会人民网舆情数据中心）https://www.cca.org.cn/zxsd/detail/30343.html</w:t>
      </w:r>
    </w:p>
  </w:footnote>
  <w:footnote w:id="7">
    <w:p>
      <w:pPr>
        <w:pStyle w:val="8"/>
        <w:ind w:firstLine="360"/>
      </w:pPr>
      <w:r>
        <w:rPr>
          <w:rStyle w:val="13"/>
        </w:rPr>
        <w:footnoteRef/>
      </w:r>
      <w:r>
        <w:rPr>
          <w:rFonts w:hint="eastAsia"/>
        </w:rPr>
        <w:t>根据消费者协会，十三类服务大类为：生活、社会服务类，销售服务，信息通讯服务，互联网服务，邮政业服务，文化、娱乐、体育服务，校外培训服务，公共设施服务，房屋装修及物业服务，旅游服务，金融服务，保险服务，卫生保健服务。</w:t>
      </w:r>
    </w:p>
  </w:footnote>
  <w:footnote w:id="8">
    <w:p>
      <w:pPr>
        <w:pStyle w:val="8"/>
        <w:ind w:firstLine="360"/>
      </w:pPr>
      <w:r>
        <w:rPr>
          <w:rStyle w:val="13"/>
        </w:rPr>
        <w:footnoteRef/>
      </w:r>
      <w:r>
        <w:rPr>
          <w:rFonts w:hint="eastAsia"/>
        </w:rPr>
        <w:t>毛婧, 祁占勇, 答喆. 校外培训机构的法律属性与法律规制[J].  2021(2020-8):66-70.</w:t>
      </w:r>
    </w:p>
  </w:footnote>
  <w:footnote w:id="9">
    <w:p>
      <w:pPr>
        <w:pStyle w:val="8"/>
        <w:ind w:firstLine="360"/>
      </w:pPr>
      <w:r>
        <w:rPr>
          <w:rStyle w:val="13"/>
        </w:rPr>
        <w:footnoteRef/>
      </w:r>
      <w:r>
        <w:rPr>
          <w:rFonts w:hint="eastAsia"/>
        </w:rPr>
        <w:t>同上。</w:t>
      </w:r>
    </w:p>
  </w:footnote>
  <w:footnote w:id="10">
    <w:p>
      <w:pPr>
        <w:pStyle w:val="8"/>
        <w:ind w:firstLine="360"/>
      </w:pPr>
      <w:r>
        <w:rPr>
          <w:rStyle w:val="13"/>
        </w:rPr>
        <w:footnoteRef/>
      </w:r>
      <w:r>
        <w:rPr>
          <w:rFonts w:hint="eastAsia"/>
        </w:rPr>
        <w:t>孟凡壮, 刘玥. 韩国课外辅导机构法律规制探析[J]. 全球教育展望, 2019(2):10.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0D3C"/>
    <w:rsid w:val="000005A6"/>
    <w:rsid w:val="00003725"/>
    <w:rsid w:val="0000374C"/>
    <w:rsid w:val="00003BFC"/>
    <w:rsid w:val="00004D18"/>
    <w:rsid w:val="0000515D"/>
    <w:rsid w:val="00005CA4"/>
    <w:rsid w:val="000157A4"/>
    <w:rsid w:val="00016B9F"/>
    <w:rsid w:val="00024432"/>
    <w:rsid w:val="000274D4"/>
    <w:rsid w:val="000341B1"/>
    <w:rsid w:val="000351A0"/>
    <w:rsid w:val="00035C66"/>
    <w:rsid w:val="00045701"/>
    <w:rsid w:val="00046C4A"/>
    <w:rsid w:val="000621E6"/>
    <w:rsid w:val="00062724"/>
    <w:rsid w:val="00067F56"/>
    <w:rsid w:val="000707D1"/>
    <w:rsid w:val="000712AE"/>
    <w:rsid w:val="000723E0"/>
    <w:rsid w:val="000761A1"/>
    <w:rsid w:val="00077EF9"/>
    <w:rsid w:val="000807D5"/>
    <w:rsid w:val="00082317"/>
    <w:rsid w:val="00082A99"/>
    <w:rsid w:val="00085D18"/>
    <w:rsid w:val="00087803"/>
    <w:rsid w:val="000878E3"/>
    <w:rsid w:val="00090DE3"/>
    <w:rsid w:val="0009716F"/>
    <w:rsid w:val="00097C9F"/>
    <w:rsid w:val="000A2629"/>
    <w:rsid w:val="000B3935"/>
    <w:rsid w:val="000C0A45"/>
    <w:rsid w:val="000C2E85"/>
    <w:rsid w:val="000C3A90"/>
    <w:rsid w:val="000C4836"/>
    <w:rsid w:val="000D2AA9"/>
    <w:rsid w:val="000D2D2A"/>
    <w:rsid w:val="000E2C70"/>
    <w:rsid w:val="000E3400"/>
    <w:rsid w:val="000E35FC"/>
    <w:rsid w:val="000E409A"/>
    <w:rsid w:val="000F0BFC"/>
    <w:rsid w:val="000F146C"/>
    <w:rsid w:val="000F3C3D"/>
    <w:rsid w:val="000F4083"/>
    <w:rsid w:val="0010186E"/>
    <w:rsid w:val="00102BF6"/>
    <w:rsid w:val="00106FC4"/>
    <w:rsid w:val="0011108A"/>
    <w:rsid w:val="0011159A"/>
    <w:rsid w:val="0011610C"/>
    <w:rsid w:val="00116BDC"/>
    <w:rsid w:val="001239E3"/>
    <w:rsid w:val="00130341"/>
    <w:rsid w:val="00130E6E"/>
    <w:rsid w:val="00131ED7"/>
    <w:rsid w:val="001423E5"/>
    <w:rsid w:val="00146FC7"/>
    <w:rsid w:val="00147029"/>
    <w:rsid w:val="00155FC2"/>
    <w:rsid w:val="00175CBE"/>
    <w:rsid w:val="0017623D"/>
    <w:rsid w:val="00176C12"/>
    <w:rsid w:val="0018291E"/>
    <w:rsid w:val="00185E88"/>
    <w:rsid w:val="00190E8B"/>
    <w:rsid w:val="00191CB0"/>
    <w:rsid w:val="00193DC1"/>
    <w:rsid w:val="00194AFB"/>
    <w:rsid w:val="00196596"/>
    <w:rsid w:val="001A0247"/>
    <w:rsid w:val="001A049F"/>
    <w:rsid w:val="001A1ECB"/>
    <w:rsid w:val="001A678C"/>
    <w:rsid w:val="001B30F7"/>
    <w:rsid w:val="001C0DFA"/>
    <w:rsid w:val="001C1C62"/>
    <w:rsid w:val="001C7E27"/>
    <w:rsid w:val="001E007D"/>
    <w:rsid w:val="001E0970"/>
    <w:rsid w:val="001E2FFE"/>
    <w:rsid w:val="001E5723"/>
    <w:rsid w:val="001E629A"/>
    <w:rsid w:val="001F3577"/>
    <w:rsid w:val="001F607B"/>
    <w:rsid w:val="001F7D7D"/>
    <w:rsid w:val="00205FC2"/>
    <w:rsid w:val="00212D54"/>
    <w:rsid w:val="00223984"/>
    <w:rsid w:val="00235B90"/>
    <w:rsid w:val="002420FB"/>
    <w:rsid w:val="00243348"/>
    <w:rsid w:val="00253B01"/>
    <w:rsid w:val="00254AB5"/>
    <w:rsid w:val="002622D2"/>
    <w:rsid w:val="00273DD6"/>
    <w:rsid w:val="00276536"/>
    <w:rsid w:val="00281818"/>
    <w:rsid w:val="00291D53"/>
    <w:rsid w:val="00295C10"/>
    <w:rsid w:val="002A4C3A"/>
    <w:rsid w:val="002A770D"/>
    <w:rsid w:val="002B2116"/>
    <w:rsid w:val="002B224E"/>
    <w:rsid w:val="002B2A85"/>
    <w:rsid w:val="002C0288"/>
    <w:rsid w:val="002C0D35"/>
    <w:rsid w:val="002D15E7"/>
    <w:rsid w:val="002D4A2E"/>
    <w:rsid w:val="002D595D"/>
    <w:rsid w:val="002D6393"/>
    <w:rsid w:val="002D7268"/>
    <w:rsid w:val="002E0B81"/>
    <w:rsid w:val="002E60C0"/>
    <w:rsid w:val="002F1AF3"/>
    <w:rsid w:val="002F3FEA"/>
    <w:rsid w:val="002F6DF0"/>
    <w:rsid w:val="0030046D"/>
    <w:rsid w:val="00303788"/>
    <w:rsid w:val="00303809"/>
    <w:rsid w:val="00313128"/>
    <w:rsid w:val="00314F29"/>
    <w:rsid w:val="0032227C"/>
    <w:rsid w:val="003250E4"/>
    <w:rsid w:val="0033274F"/>
    <w:rsid w:val="00334C11"/>
    <w:rsid w:val="00341B27"/>
    <w:rsid w:val="00342ACA"/>
    <w:rsid w:val="00347B48"/>
    <w:rsid w:val="00347EEE"/>
    <w:rsid w:val="00347F0A"/>
    <w:rsid w:val="00350236"/>
    <w:rsid w:val="00350371"/>
    <w:rsid w:val="003531C0"/>
    <w:rsid w:val="003557B0"/>
    <w:rsid w:val="003642BD"/>
    <w:rsid w:val="00372632"/>
    <w:rsid w:val="0039201B"/>
    <w:rsid w:val="00396ED3"/>
    <w:rsid w:val="00397E1F"/>
    <w:rsid w:val="003A2526"/>
    <w:rsid w:val="003B1757"/>
    <w:rsid w:val="003B1B28"/>
    <w:rsid w:val="003B3D53"/>
    <w:rsid w:val="003B7A7D"/>
    <w:rsid w:val="003C006B"/>
    <w:rsid w:val="003C4575"/>
    <w:rsid w:val="003C4D12"/>
    <w:rsid w:val="003C5371"/>
    <w:rsid w:val="003E6045"/>
    <w:rsid w:val="003E6689"/>
    <w:rsid w:val="003E7A00"/>
    <w:rsid w:val="003F16E1"/>
    <w:rsid w:val="003F1FCF"/>
    <w:rsid w:val="003F541C"/>
    <w:rsid w:val="003F78DD"/>
    <w:rsid w:val="004035D1"/>
    <w:rsid w:val="004133DD"/>
    <w:rsid w:val="00416737"/>
    <w:rsid w:val="00417ABA"/>
    <w:rsid w:val="004231D7"/>
    <w:rsid w:val="00423B63"/>
    <w:rsid w:val="0042491C"/>
    <w:rsid w:val="0042686D"/>
    <w:rsid w:val="00431342"/>
    <w:rsid w:val="0043461A"/>
    <w:rsid w:val="0043536A"/>
    <w:rsid w:val="00440248"/>
    <w:rsid w:val="004403B7"/>
    <w:rsid w:val="00441D2B"/>
    <w:rsid w:val="00442F08"/>
    <w:rsid w:val="00464616"/>
    <w:rsid w:val="004647F0"/>
    <w:rsid w:val="00467BF4"/>
    <w:rsid w:val="0047304C"/>
    <w:rsid w:val="00476850"/>
    <w:rsid w:val="00477689"/>
    <w:rsid w:val="00484982"/>
    <w:rsid w:val="004941D1"/>
    <w:rsid w:val="004A18F8"/>
    <w:rsid w:val="004A33E8"/>
    <w:rsid w:val="004A3FF6"/>
    <w:rsid w:val="004A6C79"/>
    <w:rsid w:val="004B10C2"/>
    <w:rsid w:val="004B3A36"/>
    <w:rsid w:val="004C02BA"/>
    <w:rsid w:val="004C2A47"/>
    <w:rsid w:val="004C2B9D"/>
    <w:rsid w:val="004D0C72"/>
    <w:rsid w:val="004D3F75"/>
    <w:rsid w:val="004D55D4"/>
    <w:rsid w:val="004E3CD1"/>
    <w:rsid w:val="004F2675"/>
    <w:rsid w:val="00506C9F"/>
    <w:rsid w:val="005105CE"/>
    <w:rsid w:val="00513653"/>
    <w:rsid w:val="00521ED6"/>
    <w:rsid w:val="00522018"/>
    <w:rsid w:val="005258C1"/>
    <w:rsid w:val="00540A80"/>
    <w:rsid w:val="00545790"/>
    <w:rsid w:val="00552F2B"/>
    <w:rsid w:val="00567AEC"/>
    <w:rsid w:val="00575CC7"/>
    <w:rsid w:val="00577F4B"/>
    <w:rsid w:val="00580AB0"/>
    <w:rsid w:val="00581581"/>
    <w:rsid w:val="00583B9E"/>
    <w:rsid w:val="00594AF2"/>
    <w:rsid w:val="005954B5"/>
    <w:rsid w:val="005979BC"/>
    <w:rsid w:val="005A2FF9"/>
    <w:rsid w:val="005A3B04"/>
    <w:rsid w:val="005B0DB9"/>
    <w:rsid w:val="005B287D"/>
    <w:rsid w:val="005B67AB"/>
    <w:rsid w:val="005C1E5C"/>
    <w:rsid w:val="005C26D6"/>
    <w:rsid w:val="005C5B2F"/>
    <w:rsid w:val="005D1A54"/>
    <w:rsid w:val="005D3233"/>
    <w:rsid w:val="005D76FE"/>
    <w:rsid w:val="005D7B74"/>
    <w:rsid w:val="005E3D7E"/>
    <w:rsid w:val="005E3FA6"/>
    <w:rsid w:val="005E4586"/>
    <w:rsid w:val="005E6FA7"/>
    <w:rsid w:val="00601763"/>
    <w:rsid w:val="006118FF"/>
    <w:rsid w:val="00611CB4"/>
    <w:rsid w:val="00620740"/>
    <w:rsid w:val="00622164"/>
    <w:rsid w:val="006463D2"/>
    <w:rsid w:val="00657930"/>
    <w:rsid w:val="00666DCD"/>
    <w:rsid w:val="006710EB"/>
    <w:rsid w:val="00676E85"/>
    <w:rsid w:val="0069483A"/>
    <w:rsid w:val="00697D07"/>
    <w:rsid w:val="006A0A66"/>
    <w:rsid w:val="006B1180"/>
    <w:rsid w:val="006B7141"/>
    <w:rsid w:val="006C13DA"/>
    <w:rsid w:val="006C6E22"/>
    <w:rsid w:val="006D074F"/>
    <w:rsid w:val="006D091A"/>
    <w:rsid w:val="006D1DE9"/>
    <w:rsid w:val="006D4639"/>
    <w:rsid w:val="006E7345"/>
    <w:rsid w:val="006F52E2"/>
    <w:rsid w:val="007007D4"/>
    <w:rsid w:val="0070463E"/>
    <w:rsid w:val="0070552E"/>
    <w:rsid w:val="00707876"/>
    <w:rsid w:val="00730E45"/>
    <w:rsid w:val="00747451"/>
    <w:rsid w:val="00750D3C"/>
    <w:rsid w:val="00753D30"/>
    <w:rsid w:val="0075524C"/>
    <w:rsid w:val="00757C90"/>
    <w:rsid w:val="00764000"/>
    <w:rsid w:val="00764753"/>
    <w:rsid w:val="00770F29"/>
    <w:rsid w:val="00772E09"/>
    <w:rsid w:val="00773920"/>
    <w:rsid w:val="00782DE9"/>
    <w:rsid w:val="007972B4"/>
    <w:rsid w:val="007A23D3"/>
    <w:rsid w:val="007B050D"/>
    <w:rsid w:val="007B1A26"/>
    <w:rsid w:val="007B1CA0"/>
    <w:rsid w:val="007C0F51"/>
    <w:rsid w:val="007C6821"/>
    <w:rsid w:val="007C7AE3"/>
    <w:rsid w:val="007D3123"/>
    <w:rsid w:val="007D387E"/>
    <w:rsid w:val="007D5C52"/>
    <w:rsid w:val="007E4F7A"/>
    <w:rsid w:val="007E50F2"/>
    <w:rsid w:val="007E6EF5"/>
    <w:rsid w:val="007F5D76"/>
    <w:rsid w:val="0080064F"/>
    <w:rsid w:val="008149D5"/>
    <w:rsid w:val="008157D7"/>
    <w:rsid w:val="008174AE"/>
    <w:rsid w:val="008236DC"/>
    <w:rsid w:val="00825369"/>
    <w:rsid w:val="008261EA"/>
    <w:rsid w:val="00832E0A"/>
    <w:rsid w:val="00842E43"/>
    <w:rsid w:val="00846B2E"/>
    <w:rsid w:val="00850E6B"/>
    <w:rsid w:val="00851371"/>
    <w:rsid w:val="008544A4"/>
    <w:rsid w:val="00855EDA"/>
    <w:rsid w:val="008759F5"/>
    <w:rsid w:val="008763C1"/>
    <w:rsid w:val="008807B9"/>
    <w:rsid w:val="00880E4E"/>
    <w:rsid w:val="0088130A"/>
    <w:rsid w:val="00885320"/>
    <w:rsid w:val="008A1024"/>
    <w:rsid w:val="008A7403"/>
    <w:rsid w:val="008C3ECA"/>
    <w:rsid w:val="008D7D74"/>
    <w:rsid w:val="008E16A7"/>
    <w:rsid w:val="008E3484"/>
    <w:rsid w:val="008E44C0"/>
    <w:rsid w:val="008E4751"/>
    <w:rsid w:val="008E4D97"/>
    <w:rsid w:val="008F239D"/>
    <w:rsid w:val="008F257B"/>
    <w:rsid w:val="008F763C"/>
    <w:rsid w:val="00901B07"/>
    <w:rsid w:val="0090566B"/>
    <w:rsid w:val="0091207B"/>
    <w:rsid w:val="00913062"/>
    <w:rsid w:val="009146E6"/>
    <w:rsid w:val="00916BE5"/>
    <w:rsid w:val="00922622"/>
    <w:rsid w:val="00940266"/>
    <w:rsid w:val="00940ACC"/>
    <w:rsid w:val="00945954"/>
    <w:rsid w:val="00972DA4"/>
    <w:rsid w:val="009A026F"/>
    <w:rsid w:val="009A513C"/>
    <w:rsid w:val="009A5669"/>
    <w:rsid w:val="009A5A9F"/>
    <w:rsid w:val="009B3E1A"/>
    <w:rsid w:val="009B5CC1"/>
    <w:rsid w:val="009D07CA"/>
    <w:rsid w:val="009D3458"/>
    <w:rsid w:val="009D683F"/>
    <w:rsid w:val="009D78BF"/>
    <w:rsid w:val="009E173E"/>
    <w:rsid w:val="009E2369"/>
    <w:rsid w:val="009E3919"/>
    <w:rsid w:val="009F185C"/>
    <w:rsid w:val="009F400A"/>
    <w:rsid w:val="009F5899"/>
    <w:rsid w:val="00A10180"/>
    <w:rsid w:val="00A12174"/>
    <w:rsid w:val="00A25FDB"/>
    <w:rsid w:val="00A27CEA"/>
    <w:rsid w:val="00A311D3"/>
    <w:rsid w:val="00A3166A"/>
    <w:rsid w:val="00A34340"/>
    <w:rsid w:val="00A444A6"/>
    <w:rsid w:val="00A50912"/>
    <w:rsid w:val="00A520D1"/>
    <w:rsid w:val="00A54D72"/>
    <w:rsid w:val="00A639E2"/>
    <w:rsid w:val="00A7505E"/>
    <w:rsid w:val="00A7649A"/>
    <w:rsid w:val="00A838A4"/>
    <w:rsid w:val="00A92ED6"/>
    <w:rsid w:val="00AA7449"/>
    <w:rsid w:val="00AB1A43"/>
    <w:rsid w:val="00AB7FF9"/>
    <w:rsid w:val="00AC6376"/>
    <w:rsid w:val="00AD1369"/>
    <w:rsid w:val="00AE1151"/>
    <w:rsid w:val="00AE48A1"/>
    <w:rsid w:val="00AE519B"/>
    <w:rsid w:val="00AE71DB"/>
    <w:rsid w:val="00AF65D8"/>
    <w:rsid w:val="00AF754D"/>
    <w:rsid w:val="00B02B3A"/>
    <w:rsid w:val="00B05044"/>
    <w:rsid w:val="00B07B83"/>
    <w:rsid w:val="00B10190"/>
    <w:rsid w:val="00B1720E"/>
    <w:rsid w:val="00B25B80"/>
    <w:rsid w:val="00B37564"/>
    <w:rsid w:val="00B37FB3"/>
    <w:rsid w:val="00B403B3"/>
    <w:rsid w:val="00B427B8"/>
    <w:rsid w:val="00B46144"/>
    <w:rsid w:val="00B514A0"/>
    <w:rsid w:val="00B60A53"/>
    <w:rsid w:val="00B62A87"/>
    <w:rsid w:val="00B6388B"/>
    <w:rsid w:val="00B649AC"/>
    <w:rsid w:val="00B74A7F"/>
    <w:rsid w:val="00B8605D"/>
    <w:rsid w:val="00B97479"/>
    <w:rsid w:val="00BA04B0"/>
    <w:rsid w:val="00BA6D87"/>
    <w:rsid w:val="00BA75E9"/>
    <w:rsid w:val="00BB4F18"/>
    <w:rsid w:val="00BC34E6"/>
    <w:rsid w:val="00BD170B"/>
    <w:rsid w:val="00BD47A4"/>
    <w:rsid w:val="00BD6E0C"/>
    <w:rsid w:val="00BE2EC6"/>
    <w:rsid w:val="00BE6A07"/>
    <w:rsid w:val="00BF0BA2"/>
    <w:rsid w:val="00BF0DF2"/>
    <w:rsid w:val="00BF781F"/>
    <w:rsid w:val="00C00DD5"/>
    <w:rsid w:val="00C03E06"/>
    <w:rsid w:val="00C04776"/>
    <w:rsid w:val="00C14EA2"/>
    <w:rsid w:val="00C20104"/>
    <w:rsid w:val="00C20207"/>
    <w:rsid w:val="00C20529"/>
    <w:rsid w:val="00C273FB"/>
    <w:rsid w:val="00C325A3"/>
    <w:rsid w:val="00C350E8"/>
    <w:rsid w:val="00C43C2A"/>
    <w:rsid w:val="00C47047"/>
    <w:rsid w:val="00C513EB"/>
    <w:rsid w:val="00C54141"/>
    <w:rsid w:val="00C565B8"/>
    <w:rsid w:val="00C56BEB"/>
    <w:rsid w:val="00C6778E"/>
    <w:rsid w:val="00C67D6D"/>
    <w:rsid w:val="00C76198"/>
    <w:rsid w:val="00C7695C"/>
    <w:rsid w:val="00C77267"/>
    <w:rsid w:val="00C840B8"/>
    <w:rsid w:val="00C872AB"/>
    <w:rsid w:val="00CA0597"/>
    <w:rsid w:val="00CA22E6"/>
    <w:rsid w:val="00CA4FBA"/>
    <w:rsid w:val="00CB05A2"/>
    <w:rsid w:val="00CB0CEC"/>
    <w:rsid w:val="00CB254A"/>
    <w:rsid w:val="00CB43C8"/>
    <w:rsid w:val="00CB7A7D"/>
    <w:rsid w:val="00CC5642"/>
    <w:rsid w:val="00CC610E"/>
    <w:rsid w:val="00CD07D7"/>
    <w:rsid w:val="00CD42E2"/>
    <w:rsid w:val="00CD43CE"/>
    <w:rsid w:val="00CE157F"/>
    <w:rsid w:val="00CE72B6"/>
    <w:rsid w:val="00D01E44"/>
    <w:rsid w:val="00D039A2"/>
    <w:rsid w:val="00D125C1"/>
    <w:rsid w:val="00D2390E"/>
    <w:rsid w:val="00D24BFD"/>
    <w:rsid w:val="00D26BB2"/>
    <w:rsid w:val="00D327C9"/>
    <w:rsid w:val="00D41404"/>
    <w:rsid w:val="00D46EAC"/>
    <w:rsid w:val="00D55CA3"/>
    <w:rsid w:val="00D63466"/>
    <w:rsid w:val="00D64BC0"/>
    <w:rsid w:val="00D666F6"/>
    <w:rsid w:val="00D76886"/>
    <w:rsid w:val="00D826E1"/>
    <w:rsid w:val="00D858BA"/>
    <w:rsid w:val="00D87A7B"/>
    <w:rsid w:val="00D901DB"/>
    <w:rsid w:val="00D96067"/>
    <w:rsid w:val="00DA3182"/>
    <w:rsid w:val="00DA4FFF"/>
    <w:rsid w:val="00DA675B"/>
    <w:rsid w:val="00DA744E"/>
    <w:rsid w:val="00DB0B9D"/>
    <w:rsid w:val="00DB1807"/>
    <w:rsid w:val="00DB1C23"/>
    <w:rsid w:val="00DB5C99"/>
    <w:rsid w:val="00DB7D43"/>
    <w:rsid w:val="00DC5D97"/>
    <w:rsid w:val="00DD3B3F"/>
    <w:rsid w:val="00DD6759"/>
    <w:rsid w:val="00DE1F43"/>
    <w:rsid w:val="00E02287"/>
    <w:rsid w:val="00E0317E"/>
    <w:rsid w:val="00E16E1B"/>
    <w:rsid w:val="00E2034D"/>
    <w:rsid w:val="00E23571"/>
    <w:rsid w:val="00E321E2"/>
    <w:rsid w:val="00E34B70"/>
    <w:rsid w:val="00E34D62"/>
    <w:rsid w:val="00E37B5F"/>
    <w:rsid w:val="00E4412E"/>
    <w:rsid w:val="00E511F8"/>
    <w:rsid w:val="00E5507A"/>
    <w:rsid w:val="00E57E53"/>
    <w:rsid w:val="00E6679E"/>
    <w:rsid w:val="00E70B13"/>
    <w:rsid w:val="00E72BED"/>
    <w:rsid w:val="00E81BD8"/>
    <w:rsid w:val="00E81FB9"/>
    <w:rsid w:val="00E9294C"/>
    <w:rsid w:val="00E94862"/>
    <w:rsid w:val="00EA0336"/>
    <w:rsid w:val="00EB380E"/>
    <w:rsid w:val="00EB4B5A"/>
    <w:rsid w:val="00EB7CA9"/>
    <w:rsid w:val="00EB7FD1"/>
    <w:rsid w:val="00EC23FD"/>
    <w:rsid w:val="00EC5CA8"/>
    <w:rsid w:val="00EE0511"/>
    <w:rsid w:val="00EE1A13"/>
    <w:rsid w:val="00EE56B3"/>
    <w:rsid w:val="00EF0119"/>
    <w:rsid w:val="00EF65CF"/>
    <w:rsid w:val="00EF7559"/>
    <w:rsid w:val="00F01118"/>
    <w:rsid w:val="00F0163F"/>
    <w:rsid w:val="00F023E1"/>
    <w:rsid w:val="00F05FFD"/>
    <w:rsid w:val="00F10422"/>
    <w:rsid w:val="00F1155A"/>
    <w:rsid w:val="00F15AB2"/>
    <w:rsid w:val="00F20A4D"/>
    <w:rsid w:val="00F24246"/>
    <w:rsid w:val="00F24544"/>
    <w:rsid w:val="00F3633A"/>
    <w:rsid w:val="00F364BF"/>
    <w:rsid w:val="00F42F75"/>
    <w:rsid w:val="00F451B6"/>
    <w:rsid w:val="00F45900"/>
    <w:rsid w:val="00F46375"/>
    <w:rsid w:val="00F47CEE"/>
    <w:rsid w:val="00F548B8"/>
    <w:rsid w:val="00F6574B"/>
    <w:rsid w:val="00F664ED"/>
    <w:rsid w:val="00F67BE2"/>
    <w:rsid w:val="00F7005D"/>
    <w:rsid w:val="00F7277B"/>
    <w:rsid w:val="00F735C4"/>
    <w:rsid w:val="00F75AF4"/>
    <w:rsid w:val="00F86782"/>
    <w:rsid w:val="00F93A98"/>
    <w:rsid w:val="00F97D2C"/>
    <w:rsid w:val="00FA0BA3"/>
    <w:rsid w:val="00FA0BE2"/>
    <w:rsid w:val="00FA5D19"/>
    <w:rsid w:val="00FA6B18"/>
    <w:rsid w:val="00FB4E5B"/>
    <w:rsid w:val="00FB50E6"/>
    <w:rsid w:val="00FB78D0"/>
    <w:rsid w:val="00FC1CAD"/>
    <w:rsid w:val="00FC2C41"/>
    <w:rsid w:val="00FC525E"/>
    <w:rsid w:val="00FC7264"/>
    <w:rsid w:val="00FD0877"/>
    <w:rsid w:val="00FD18B3"/>
    <w:rsid w:val="00FD70A7"/>
    <w:rsid w:val="00FD79F2"/>
    <w:rsid w:val="00FD7D9F"/>
    <w:rsid w:val="00FF7C09"/>
    <w:rsid w:val="024D3811"/>
    <w:rsid w:val="02EE5791"/>
    <w:rsid w:val="06354985"/>
    <w:rsid w:val="0A205BDB"/>
    <w:rsid w:val="10864954"/>
    <w:rsid w:val="138024C3"/>
    <w:rsid w:val="1C8C7613"/>
    <w:rsid w:val="20620EB2"/>
    <w:rsid w:val="21E603E2"/>
    <w:rsid w:val="275F2B05"/>
    <w:rsid w:val="28A4397D"/>
    <w:rsid w:val="28EA3A55"/>
    <w:rsid w:val="2D513769"/>
    <w:rsid w:val="321E4D23"/>
    <w:rsid w:val="325958AD"/>
    <w:rsid w:val="34150C5D"/>
    <w:rsid w:val="355B1D2B"/>
    <w:rsid w:val="367F1141"/>
    <w:rsid w:val="3BAF739C"/>
    <w:rsid w:val="43E258B1"/>
    <w:rsid w:val="46FC59A1"/>
    <w:rsid w:val="47626F17"/>
    <w:rsid w:val="4D472D7F"/>
    <w:rsid w:val="50A47570"/>
    <w:rsid w:val="517A6E65"/>
    <w:rsid w:val="52D115FF"/>
    <w:rsid w:val="54372DFB"/>
    <w:rsid w:val="54CF6E3F"/>
    <w:rsid w:val="56934E71"/>
    <w:rsid w:val="58900F98"/>
    <w:rsid w:val="589E7ABD"/>
    <w:rsid w:val="5A66785A"/>
    <w:rsid w:val="5AC97878"/>
    <w:rsid w:val="5B38306F"/>
    <w:rsid w:val="5BDD4427"/>
    <w:rsid w:val="5FC10613"/>
    <w:rsid w:val="66356234"/>
    <w:rsid w:val="6B6D6550"/>
    <w:rsid w:val="6BBC6CB1"/>
    <w:rsid w:val="6DBE31F2"/>
    <w:rsid w:val="6E6634D3"/>
    <w:rsid w:val="71157C38"/>
    <w:rsid w:val="75120DD6"/>
    <w:rsid w:val="76A147F3"/>
    <w:rsid w:val="7B833400"/>
    <w:rsid w:val="7BA074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仿宋" w:cstheme="minorBidi"/>
      <w:kern w:val="2"/>
      <w:sz w:val="24"/>
      <w:szCs w:val="22"/>
      <w:lang w:val="en-US" w:eastAsia="zh-CN" w:bidi="ar-SA"/>
    </w:rPr>
  </w:style>
  <w:style w:type="paragraph" w:styleId="2">
    <w:name w:val="heading 1"/>
    <w:basedOn w:val="1"/>
    <w:next w:val="1"/>
    <w:link w:val="16"/>
    <w:qFormat/>
    <w:uiPriority w:val="9"/>
    <w:pPr>
      <w:keepNext/>
      <w:keepLines/>
      <w:ind w:firstLine="482"/>
      <w:outlineLvl w:val="0"/>
    </w:pPr>
    <w:rPr>
      <w:b/>
      <w:bCs/>
      <w:kern w:val="44"/>
      <w:sz w:val="28"/>
      <w:szCs w:val="44"/>
    </w:rPr>
  </w:style>
  <w:style w:type="paragraph" w:styleId="3">
    <w:name w:val="heading 2"/>
    <w:basedOn w:val="1"/>
    <w:next w:val="1"/>
    <w:link w:val="17"/>
    <w:unhideWhenUsed/>
    <w:qFormat/>
    <w:uiPriority w:val="9"/>
    <w:pPr>
      <w:keepNext/>
      <w:keepLines/>
      <w:ind w:firstLine="482"/>
      <w:outlineLvl w:val="1"/>
    </w:pPr>
    <w:rPr>
      <w:rFonts w:cstheme="majorBidi"/>
      <w:b/>
      <w:bCs/>
      <w:szCs w:val="32"/>
    </w:rPr>
  </w:style>
  <w:style w:type="character" w:default="1" w:styleId="10">
    <w:name w:val="Default Paragraph Font"/>
    <w:semiHidden/>
    <w:unhideWhenUsed/>
    <w:uiPriority w:val="1"/>
  </w:style>
  <w:style w:type="table" w:default="1" w:styleId="14">
    <w:name w:val="Normal Table"/>
    <w:semiHidden/>
    <w:unhideWhenUsed/>
    <w:uiPriority w:val="99"/>
    <w:tblPr>
      <w:tblLayout w:type="fixed"/>
      <w:tblCellMar>
        <w:top w:w="0" w:type="dxa"/>
        <w:left w:w="108" w:type="dxa"/>
        <w:bottom w:w="0" w:type="dxa"/>
        <w:right w:w="108" w:type="dxa"/>
      </w:tblCellMar>
    </w:tblPr>
  </w:style>
  <w:style w:type="paragraph" w:styleId="4">
    <w:name w:val="Document Map"/>
    <w:basedOn w:val="1"/>
    <w:link w:val="22"/>
    <w:semiHidden/>
    <w:unhideWhenUsed/>
    <w:uiPriority w:val="99"/>
    <w:rPr>
      <w:rFonts w:ascii="宋体" w:eastAsia="宋体"/>
      <w:sz w:val="18"/>
      <w:szCs w:val="18"/>
    </w:rPr>
  </w:style>
  <w:style w:type="paragraph" w:styleId="5">
    <w:name w:val="Balloon Text"/>
    <w:basedOn w:val="1"/>
    <w:link w:val="21"/>
    <w:semiHidden/>
    <w:unhideWhenUsed/>
    <w:qFormat/>
    <w:uiPriority w:val="99"/>
    <w:pPr>
      <w:spacing w:line="240" w:lineRule="auto"/>
    </w:pPr>
    <w:rPr>
      <w:sz w:val="18"/>
      <w:szCs w:val="18"/>
    </w:rPr>
  </w:style>
  <w:style w:type="paragraph" w:styleId="6">
    <w:name w:val="footer"/>
    <w:basedOn w:val="1"/>
    <w:link w:val="20"/>
    <w:unhideWhenUsed/>
    <w:qFormat/>
    <w:uiPriority w:val="99"/>
    <w:pPr>
      <w:tabs>
        <w:tab w:val="center" w:pos="4153"/>
        <w:tab w:val="right" w:pos="8306"/>
      </w:tabs>
      <w:snapToGrid w:val="0"/>
      <w:spacing w:line="240" w:lineRule="auto"/>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footnote text"/>
    <w:basedOn w:val="1"/>
    <w:link w:val="18"/>
    <w:semiHidden/>
    <w:unhideWhenUsed/>
    <w:uiPriority w:val="99"/>
    <w:pPr>
      <w:snapToGrid w:val="0"/>
      <w:jc w:val="left"/>
    </w:pPr>
    <w:rPr>
      <w:sz w:val="18"/>
      <w:szCs w:val="18"/>
    </w:rPr>
  </w:style>
  <w:style w:type="paragraph" w:styleId="9">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Cs w:val="24"/>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styleId="13">
    <w:name w:val="footnote reference"/>
    <w:basedOn w:val="10"/>
    <w:semiHidden/>
    <w:unhideWhenUsed/>
    <w:uiPriority w:val="99"/>
    <w:rPr>
      <w:vertAlign w:val="superscript"/>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6">
    <w:name w:val="标题 1 字符"/>
    <w:basedOn w:val="10"/>
    <w:link w:val="2"/>
    <w:qFormat/>
    <w:uiPriority w:val="9"/>
    <w:rPr>
      <w:rFonts w:ascii="Times New Roman" w:hAnsi="Times New Roman" w:eastAsia="仿宋"/>
      <w:b/>
      <w:bCs/>
      <w:kern w:val="44"/>
      <w:sz w:val="28"/>
      <w:szCs w:val="44"/>
    </w:rPr>
  </w:style>
  <w:style w:type="character" w:customStyle="1" w:styleId="17">
    <w:name w:val="标题 2 字符"/>
    <w:basedOn w:val="10"/>
    <w:link w:val="3"/>
    <w:qFormat/>
    <w:uiPriority w:val="9"/>
    <w:rPr>
      <w:rFonts w:ascii="Times New Roman" w:hAnsi="Times New Roman" w:eastAsia="仿宋" w:cstheme="majorBidi"/>
      <w:b/>
      <w:bCs/>
      <w:sz w:val="24"/>
      <w:szCs w:val="32"/>
    </w:rPr>
  </w:style>
  <w:style w:type="character" w:customStyle="1" w:styleId="18">
    <w:name w:val="脚注文本 字符"/>
    <w:basedOn w:val="10"/>
    <w:link w:val="8"/>
    <w:semiHidden/>
    <w:uiPriority w:val="99"/>
    <w:rPr>
      <w:rFonts w:ascii="Times New Roman" w:hAnsi="Times New Roman" w:eastAsia="仿宋"/>
      <w:sz w:val="18"/>
      <w:szCs w:val="18"/>
    </w:rPr>
  </w:style>
  <w:style w:type="character" w:customStyle="1" w:styleId="19">
    <w:name w:val="页眉 字符"/>
    <w:basedOn w:val="10"/>
    <w:link w:val="7"/>
    <w:qFormat/>
    <w:uiPriority w:val="99"/>
    <w:rPr>
      <w:rFonts w:ascii="Times New Roman" w:hAnsi="Times New Roman" w:eastAsia="仿宋"/>
      <w:sz w:val="18"/>
      <w:szCs w:val="18"/>
    </w:rPr>
  </w:style>
  <w:style w:type="character" w:customStyle="1" w:styleId="20">
    <w:name w:val="页脚 字符"/>
    <w:basedOn w:val="10"/>
    <w:link w:val="6"/>
    <w:uiPriority w:val="99"/>
    <w:rPr>
      <w:rFonts w:ascii="Times New Roman" w:hAnsi="Times New Roman" w:eastAsia="仿宋"/>
      <w:sz w:val="18"/>
      <w:szCs w:val="18"/>
    </w:rPr>
  </w:style>
  <w:style w:type="character" w:customStyle="1" w:styleId="21">
    <w:name w:val="批注框文本 字符"/>
    <w:basedOn w:val="10"/>
    <w:link w:val="5"/>
    <w:semiHidden/>
    <w:qFormat/>
    <w:uiPriority w:val="99"/>
    <w:rPr>
      <w:rFonts w:ascii="Times New Roman" w:hAnsi="Times New Roman" w:eastAsia="仿宋"/>
      <w:sz w:val="18"/>
      <w:szCs w:val="18"/>
    </w:rPr>
  </w:style>
  <w:style w:type="character" w:customStyle="1" w:styleId="22">
    <w:name w:val="文档结构图 字符"/>
    <w:basedOn w:val="10"/>
    <w:link w:val="4"/>
    <w:semiHidden/>
    <w:qFormat/>
    <w:uiPriority w:val="99"/>
    <w:rPr>
      <w:rFonts w:ascii="宋体" w:hAnsi="Times New Roman" w:eastAsia="宋体"/>
      <w:sz w:val="18"/>
      <w:szCs w:val="18"/>
    </w:rPr>
  </w:style>
  <w:style w:type="paragraph" w:styleId="23">
    <w:name w:val="List Paragraph"/>
    <w:basedOn w:val="1"/>
    <w:qFormat/>
    <w:uiPriority w:val="34"/>
    <w:pPr>
      <w:ind w:firstLine="420"/>
    </w:pPr>
  </w:style>
  <w:style w:type="paragraph" w:customStyle="1" w:styleId="24">
    <w:name w:val="修订1"/>
    <w:hidden/>
    <w:semiHidden/>
    <w:uiPriority w:val="99"/>
    <w:rPr>
      <w:rFonts w:ascii="Times New Roman" w:hAnsi="Times New Roman" w:eastAsia="仿宋" w:cstheme="minorBidi"/>
      <w:kern w:val="2"/>
      <w:sz w:val="24"/>
      <w:szCs w:val="22"/>
      <w:lang w:val="en-US" w:eastAsia="zh-CN" w:bidi="ar-SA"/>
    </w:rPr>
  </w:style>
  <w:style w:type="paragraph" w:customStyle="1" w:styleId="25">
    <w:name w:val="Revision"/>
    <w:hidden/>
    <w:semiHidden/>
    <w:uiPriority w:val="99"/>
    <w:rPr>
      <w:rFonts w:ascii="Times New Roman" w:hAnsi="Times New Roman" w:eastAsia="仿宋"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C:\Users\viccy\OneDrive\2021\A-&#39033;&#30446;\1-&#25945;&#32946;&#39046;&#22495;&#28040;&#36153;&#32773;&#26435;&#30410;&#20445;&#25252;\&#25968;&#2545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https://d.docs.live.net/dea2e56869e89cf1/2021/A-&#39033;&#30446;/1-&#25945;&#32946;&#39046;&#22495;&#28040;&#36153;&#32773;&#26435;&#30410;&#20445;&#25252;/&#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gradFill rotWithShape="1">
              <a:gsLst>
                <a:gs pos="50000">
                  <a:srgbClr val="5A80A7"/>
                </a:gs>
                <a:gs pos="0">
                  <a:srgbClr val="91AAC4"/>
                </a:gs>
                <a:gs pos="100000">
                  <a:srgbClr val="235589"/>
                </a:gs>
              </a:gsLst>
              <a:lin scaled="1"/>
            </a:gradFill>
            <a:ln>
              <a:noFill/>
            </a:ln>
            <a:effectLst>
              <a:outerShdw blurRad="76200" dir="18900000" sy="23000" kx="-1200000" algn="bl" rotWithShape="0">
                <a:prstClr val="black">
                  <a:alpha val="10000"/>
                </a:prstClr>
              </a:outerShdw>
            </a:effectLst>
          </c:spPr>
          <c:invertIfNegative val="0"/>
          <c:dLbls>
            <c:dLbl>
              <c:idx val="1"/>
              <c:delete val="1"/>
            </c:dLbl>
            <c:dLbl>
              <c:idx val="3"/>
              <c:delete val="1"/>
            </c:dLbl>
            <c:dLbl>
              <c:idx val="4"/>
              <c:delete val="1"/>
            </c:dLbl>
            <c:dLbl>
              <c:idx val="6"/>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[数据.xlsx]Sheet1!$B$1:$I$1</c:f>
              <c:numCache>
                <c:formatCode>General</c:formatCode>
                <c:ptCount val="8"/>
                <c:pt idx="0">
                  <c:v>2013</c:v>
                </c:pt>
                <c:pt idx="1">
                  <c:v>2014</c:v>
                </c:pt>
                <c:pt idx="2">
                  <c:v>2015</c:v>
                </c:pt>
                <c:pt idx="3">
                  <c:v>2016</c:v>
                </c:pt>
                <c:pt idx="4">
                  <c:v>2017</c:v>
                </c:pt>
                <c:pt idx="5">
                  <c:v>2018</c:v>
                </c:pt>
                <c:pt idx="6">
                  <c:v>2019</c:v>
                </c:pt>
                <c:pt idx="7">
                  <c:v>2020</c:v>
                </c:pt>
              </c:numCache>
            </c:numRef>
          </c:cat>
          <c:val>
            <c:numRef>
              <c:f>[数据.xlsx]Sheet1!$B$2:$I$2</c:f>
              <c:numCache>
                <c:formatCode>General</c:formatCode>
                <c:ptCount val="8"/>
                <c:pt idx="0">
                  <c:v>22.08</c:v>
                </c:pt>
                <c:pt idx="1">
                  <c:v>23.58</c:v>
                </c:pt>
                <c:pt idx="2">
                  <c:v>27.02</c:v>
                </c:pt>
                <c:pt idx="3">
                  <c:v>27.15</c:v>
                </c:pt>
                <c:pt idx="4">
                  <c:v>29.39</c:v>
                </c:pt>
                <c:pt idx="5">
                  <c:v>30.56</c:v>
                </c:pt>
                <c:pt idx="6">
                  <c:v>30.8</c:v>
                </c:pt>
                <c:pt idx="7">
                  <c:v>32.44</c:v>
                </c:pt>
              </c:numCache>
            </c:numRef>
          </c:val>
        </c:ser>
        <c:dLbls>
          <c:showLegendKey val="0"/>
          <c:showVal val="1"/>
          <c:showCatName val="0"/>
          <c:showSerName val="0"/>
          <c:showPercent val="0"/>
          <c:showBubbleSize val="0"/>
        </c:dLbls>
        <c:gapWidth val="500"/>
        <c:overlap val="-40"/>
        <c:axId val="193693952"/>
        <c:axId val="78991360"/>
      </c:barChart>
      <c:dateAx>
        <c:axId val="193693952"/>
        <c:scaling>
          <c:orientation val="minMax"/>
        </c:scaling>
        <c:delete val="0"/>
        <c:axPos val="b"/>
        <c:minorGridlines>
          <c:spPr>
            <a:ln w="9525" cap="flat" cmpd="sng" algn="ctr">
              <a:solidFill>
                <a:schemeClr val="tx1">
                  <a:lumMod val="5000"/>
                  <a:lumOff val="95000"/>
                </a:schemeClr>
              </a:solidFill>
              <a:prstDash val="solid"/>
              <a:round/>
            </a:ln>
            <a:effectLst/>
          </c:spPr>
        </c:minorGridlines>
        <c:numFmt formatCode="General" sourceLinked="0"/>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8991360"/>
        <c:crosses val="autoZero"/>
        <c:auto val="0"/>
        <c:lblOffset val="100"/>
        <c:baseTimeUnit val="days"/>
      </c:dateAx>
      <c:valAx>
        <c:axId val="78991360"/>
        <c:scaling>
          <c:orientation val="minMax"/>
        </c:scaling>
        <c:delete val="0"/>
        <c:axPos val="l"/>
        <c:majorGridlines>
          <c:spPr>
            <a:ln w="3175" cap="flat" cmpd="sng" algn="ctr">
              <a:solidFill>
                <a:srgbClr val="EAEAEA"/>
              </a:solidFill>
              <a:prstDash val="solid"/>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zh-CN" altLang="en-US"/>
                  <a:t>单位：</a:t>
                </a:r>
                <a:r>
                  <a:rPr lang="en-US" altLang="zh-CN"/>
                  <a:t>%</a:t>
                </a:r>
                <a:endParaRPr lang="zh-CN" altLang="en-US"/>
              </a:p>
            </c:rich>
          </c:tx>
          <c:layout/>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193693952"/>
        <c:crosses val="autoZero"/>
        <c:crossBetween val="between"/>
      </c:valAx>
      <c:spPr>
        <a:noFill/>
        <a:ln>
          <a:noFill/>
        </a:ln>
        <a:effectLst/>
      </c:spPr>
    </c:plotArea>
    <c:plotVisOnly val="1"/>
    <c:dispBlanksAs val="gap"/>
    <c:showDLblsOverMax val="0"/>
  </c:chart>
  <c:spPr>
    <a:solidFill>
      <a:schemeClr val="bg1"/>
    </a:solidFill>
    <a:ln w="9525" cap="flat" cmpd="sng" algn="ctr">
      <a:solidFill>
        <a:srgbClr val="EAEAEA"/>
      </a:solidFill>
      <a:prstDash val="solid"/>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99722530521643"/>
          <c:y val="0.0511979950184682"/>
          <c:w val="0.806437291897891"/>
          <c:h val="0.72993006993007"/>
        </c:manualLayout>
      </c:layout>
      <c:barChart>
        <c:barDir val="col"/>
        <c:grouping val="clustered"/>
        <c:varyColors val="0"/>
        <c:ser>
          <c:idx val="0"/>
          <c:order val="0"/>
          <c:tx>
            <c:strRef>
              <c:f>投诉量</c:f>
              <c:strCache>
                <c:ptCount val="1"/>
                <c:pt idx="0">
                  <c:v>投诉量</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numRef>
              <c:f>投诉数量!$D$2:$N$2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投诉数量!$D$5:$N$5</c:f>
              <c:numCache>
                <c:formatCode>General</c:formatCode>
                <c:ptCount val="11"/>
                <c:pt idx="0">
                  <c:v>3416</c:v>
                </c:pt>
                <c:pt idx="1">
                  <c:v>3698</c:v>
                </c:pt>
                <c:pt idx="2">
                  <c:v>6358</c:v>
                </c:pt>
                <c:pt idx="3">
                  <c:v>6423</c:v>
                </c:pt>
                <c:pt idx="4">
                  <c:v>5811</c:v>
                </c:pt>
                <c:pt idx="5">
                  <c:v>6646</c:v>
                </c:pt>
                <c:pt idx="6">
                  <c:v>10338</c:v>
                </c:pt>
                <c:pt idx="7">
                  <c:v>20521</c:v>
                </c:pt>
                <c:pt idx="8">
                  <c:v>39486</c:v>
                </c:pt>
                <c:pt idx="9">
                  <c:v>56165</c:v>
                </c:pt>
                <c:pt idx="10">
                  <c:v>80528</c:v>
                </c:pt>
              </c:numCache>
            </c:numRef>
          </c:val>
        </c:ser>
        <c:dLbls>
          <c:showLegendKey val="0"/>
          <c:showVal val="1"/>
          <c:showCatName val="0"/>
          <c:showSerName val="0"/>
          <c:showPercent val="0"/>
          <c:showBubbleSize val="0"/>
        </c:dLbls>
        <c:gapWidth val="150"/>
        <c:axId val="78985088"/>
        <c:axId val="78986624"/>
      </c:barChart>
      <c:lineChart>
        <c:grouping val="standard"/>
        <c:varyColors val="0"/>
        <c:ser>
          <c:idx val="1"/>
          <c:order val="1"/>
          <c:tx>
            <c:strRef>
              <c:f>占服务类投诉的比重</c:f>
              <c:strCache>
                <c:ptCount val="1"/>
                <c:pt idx="0">
                  <c:v>占服务类投诉的比重</c:v>
                </c:pt>
              </c:strCache>
            </c:strRef>
          </c:tx>
          <c:spPr>
            <a:ln w="28575" cap="rnd" cmpd="sng" algn="ctr">
              <a:solidFill>
                <a:schemeClr val="accent2"/>
              </a:solidFill>
              <a:prstDash val="solid"/>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val>
            <c:numRef>
              <c:f>投诉数量!$D$9:$N$9</c:f>
              <c:numCache>
                <c:formatCode>0.00_);[Red]\(0.00\)</c:formatCode>
                <c:ptCount val="11"/>
                <c:pt idx="0">
                  <c:v>1.69684325559447</c:v>
                </c:pt>
                <c:pt idx="1">
                  <c:v>2.00053015672082</c:v>
                </c:pt>
                <c:pt idx="2">
                  <c:v>2.31359848622685</c:v>
                </c:pt>
                <c:pt idx="3">
                  <c:v>2.25753389991354</c:v>
                </c:pt>
                <c:pt idx="4">
                  <c:v>3.09733334044016</c:v>
                </c:pt>
                <c:pt idx="5">
                  <c:v>2.83014448811688</c:v>
                </c:pt>
                <c:pt idx="6">
                  <c:v>2.70046470562114</c:v>
                </c:pt>
                <c:pt idx="7">
                  <c:v>5.57220982203468</c:v>
                </c:pt>
                <c:pt idx="8">
                  <c:v>9.50658955974904</c:v>
                </c:pt>
                <c:pt idx="9">
                  <c:v>11.2444468468901</c:v>
                </c:pt>
                <c:pt idx="10">
                  <c:v>15.5714073011275</c:v>
                </c:pt>
              </c:numCache>
            </c:numRef>
          </c:val>
          <c:smooth val="0"/>
        </c:ser>
        <c:dLbls>
          <c:showLegendKey val="0"/>
          <c:showVal val="1"/>
          <c:showCatName val="0"/>
          <c:showSerName val="0"/>
          <c:showPercent val="0"/>
          <c:showBubbleSize val="0"/>
        </c:dLbls>
        <c:marker val="0"/>
        <c:smooth val="0"/>
        <c:axId val="79013376"/>
        <c:axId val="79014912"/>
      </c:lineChart>
      <c:catAx>
        <c:axId val="78985088"/>
        <c:scaling>
          <c:orientation val="minMax"/>
        </c:scaling>
        <c:delete val="0"/>
        <c:axPos val="b"/>
        <c:numFmt formatCode="General" sourceLinked="0"/>
        <c:majorTickMark val="none"/>
        <c:minorTickMark val="none"/>
        <c:tickLblPos val="nextTo"/>
        <c:spPr>
          <a:noFill/>
          <a:ln w="19050"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986624"/>
        <c:crosses val="autoZero"/>
        <c:auto val="1"/>
        <c:lblAlgn val="ctr"/>
        <c:lblOffset val="100"/>
        <c:noMultiLvlLbl val="0"/>
      </c:catAx>
      <c:valAx>
        <c:axId val="78986624"/>
        <c:scaling>
          <c:orientation val="minMax"/>
        </c:scaling>
        <c:delete val="0"/>
        <c:axPos val="l"/>
        <c:majorGridlines>
          <c:spPr>
            <a:ln w="6350"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900" b="1" i="0" u="none" strike="noStrike" kern="1200" baseline="0">
                    <a:solidFill>
                      <a:schemeClr val="tx1">
                        <a:lumMod val="65000"/>
                        <a:lumOff val="35000"/>
                      </a:schemeClr>
                    </a:solidFill>
                    <a:latin typeface="+mn-lt"/>
                    <a:ea typeface="+mn-ea"/>
                    <a:cs typeface="+mn-cs"/>
                  </a:defRPr>
                </a:pPr>
                <a:r>
                  <a:rPr lang="zh-CN" altLang="en-US"/>
                  <a:t>单位：件</a:t>
                </a:r>
                <a:endParaRPr lang="zh-CN" altLang="en-US"/>
              </a:p>
            </c:rich>
          </c:tx>
          <c:layout>
            <c:manualLayout>
              <c:xMode val="edge"/>
              <c:yMode val="edge"/>
              <c:x val="0.00130310884267326"/>
              <c:y val="0.321291074033385"/>
            </c:manualLayout>
          </c:layout>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985088"/>
        <c:crosses val="autoZero"/>
        <c:crossBetween val="between"/>
      </c:valAx>
      <c:catAx>
        <c:axId val="7901337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9014912"/>
        <c:crosses val="autoZero"/>
        <c:auto val="1"/>
        <c:lblAlgn val="ctr"/>
        <c:lblOffset val="100"/>
        <c:noMultiLvlLbl val="0"/>
      </c:catAx>
      <c:valAx>
        <c:axId val="79014912"/>
        <c:scaling>
          <c:orientation val="minMax"/>
          <c:max val="18"/>
          <c:min val="0"/>
        </c:scaling>
        <c:delete val="0"/>
        <c:axPos val="r"/>
        <c:title>
          <c:tx>
            <c:rich>
              <a:bodyPr rot="-5400000" spcFirstLastPara="0" vertOverflow="ellipsis" vert="horz" wrap="square" anchor="ctr" anchorCtr="1"/>
              <a:lstStyle/>
              <a:p>
                <a:pPr defTabSz="914400">
                  <a:defRPr lang="zh-CN" sz="900" b="1" i="0" u="none" strike="noStrike" kern="1200" baseline="0">
                    <a:solidFill>
                      <a:schemeClr val="tx1">
                        <a:lumMod val="65000"/>
                        <a:lumOff val="35000"/>
                      </a:schemeClr>
                    </a:solidFill>
                    <a:latin typeface="+mn-lt"/>
                    <a:ea typeface="+mn-ea"/>
                    <a:cs typeface="+mn-cs"/>
                  </a:defRPr>
                </a:pPr>
                <a:r>
                  <a:rPr lang="zh-CN" altLang="en-US"/>
                  <a:t>单位：</a:t>
                </a:r>
                <a:r>
                  <a:rPr lang="en-US" altLang="zh-CN"/>
                  <a:t>%</a:t>
                </a:r>
                <a:endParaRPr lang="en-US" altLang="zh-CN"/>
              </a:p>
            </c:rich>
          </c:tx>
          <c:layout/>
          <c:overlay val="0"/>
          <c:spPr>
            <a:noFill/>
            <a:ln>
              <a:noFill/>
            </a:ln>
            <a:effectLst/>
          </c:spPr>
        </c:title>
        <c:numFmt formatCode="0.00_);[Red]\(0.00\)" sourceLinked="1"/>
        <c:majorTickMark val="out"/>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013376"/>
        <c:crosses val="max"/>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3753F0-6867-41FB-A6AC-B3F50AED7BF0}">
  <ds:schemaRefs/>
</ds:datastoreItem>
</file>

<file path=docProps/app.xml><?xml version="1.0" encoding="utf-8"?>
<Properties xmlns="http://schemas.openxmlformats.org/officeDocument/2006/extended-properties" xmlns:vt="http://schemas.openxmlformats.org/officeDocument/2006/docPropsVTypes">
  <Template>Normal</Template>
  <Pages>18</Pages>
  <Words>2199</Words>
  <Characters>12538</Characters>
  <Lines>104</Lines>
  <Paragraphs>29</Paragraphs>
  <TotalTime>1</TotalTime>
  <ScaleCrop>false</ScaleCrop>
  <LinksUpToDate>false</LinksUpToDate>
  <CharactersWithSpaces>14708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2022-02-21T07:46:00Z</dcterms:created>
  <dc:creator>chen viccy</dc:creator>
  <cp:lastModifiedBy>pixiaolin</cp:lastModifiedBy>
  <dcterms:modified xsi:type="dcterms:W3CDTF">2022-03-07T03:53:18Z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