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line="420" w:lineRule="atLeast"/>
        <w:jc w:val="both"/>
        <w:rPr>
          <w:rFonts w:hint="default" w:ascii="仿宋" w:hAnsi="仿宋" w:eastAsia="仿宋" w:cs="Tahoma"/>
          <w:b/>
          <w:color w:val="4B4B4B"/>
          <w:sz w:val="32"/>
          <w:szCs w:val="32"/>
          <w:lang w:val="en-US" w:eastAsia="zh-CN"/>
        </w:rPr>
      </w:pPr>
      <w:r>
        <w:rPr>
          <w:rFonts w:hint="eastAsia" w:ascii="仿宋" w:hAnsi="仿宋" w:eastAsia="仿宋" w:cs="Tahoma"/>
          <w:b/>
          <w:color w:val="4B4B4B"/>
          <w:sz w:val="32"/>
          <w:szCs w:val="32"/>
          <w:lang w:eastAsia="zh-CN"/>
        </w:rPr>
        <w:t>附件</w:t>
      </w:r>
      <w:r>
        <w:rPr>
          <w:rFonts w:hint="eastAsia" w:ascii="仿宋" w:hAnsi="仿宋" w:eastAsia="仿宋" w:cs="Tahoma"/>
          <w:b/>
          <w:color w:val="4B4B4B"/>
          <w:sz w:val="32"/>
          <w:szCs w:val="32"/>
          <w:lang w:val="en-US" w:eastAsia="zh-CN"/>
        </w:rPr>
        <w:t>11</w:t>
      </w:r>
      <w:bookmarkStart w:id="0" w:name="_GoBack"/>
      <w:bookmarkEnd w:id="0"/>
    </w:p>
    <w:p>
      <w:pPr>
        <w:pStyle w:val="4"/>
        <w:shd w:val="clear" w:color="auto" w:fill="FFFFFF"/>
        <w:spacing w:before="0" w:beforeAutospacing="0" w:after="0" w:afterAutospacing="0" w:line="420" w:lineRule="atLeast"/>
        <w:jc w:val="center"/>
        <w:rPr>
          <w:rFonts w:hint="eastAsia" w:ascii="仿宋" w:hAnsi="仿宋" w:eastAsia="仿宋" w:cs="仿宋"/>
          <w:b/>
          <w:bCs w:val="0"/>
          <w:sz w:val="32"/>
          <w:szCs w:val="32"/>
        </w:rPr>
      </w:pPr>
      <w:r>
        <w:rPr>
          <w:rFonts w:hint="eastAsia" w:ascii="仿宋" w:hAnsi="仿宋" w:eastAsia="仿宋" w:cs="仿宋"/>
          <w:b/>
          <w:bCs w:val="0"/>
          <w:color w:val="4B4B4B"/>
          <w:sz w:val="44"/>
          <w:szCs w:val="44"/>
        </w:rPr>
        <w:t>部分检验项目的说明</w:t>
      </w:r>
    </w:p>
    <w:p>
      <w:pPr>
        <w:pStyle w:val="4"/>
        <w:shd w:val="clear" w:color="auto" w:fill="FFFFFF"/>
        <w:spacing w:before="0" w:beforeAutospacing="0" w:after="0" w:afterAutospacing="0" w:line="560" w:lineRule="exact"/>
        <w:ind w:firstLine="643" w:firstLineChars="200"/>
        <w:rPr>
          <w:rFonts w:ascii="仿宋" w:hAnsi="仿宋" w:eastAsia="仿宋" w:cs="Tahoma"/>
          <w:b/>
          <w:bCs/>
          <w:sz w:val="32"/>
          <w:szCs w:val="32"/>
          <w:shd w:val="clear" w:color="auto" w:fill="FFFFFF"/>
        </w:rPr>
      </w:pPr>
    </w:p>
    <w:p>
      <w:pPr>
        <w:keepNext w:val="0"/>
        <w:keepLines w:val="0"/>
        <w:widowControl/>
        <w:suppressLineNumbers w:val="0"/>
        <w:ind w:firstLine="602" w:firstLineChars="200"/>
        <w:jc w:val="left"/>
        <w:rPr>
          <w:rFonts w:hint="eastAsia" w:ascii="仿宋" w:hAnsi="仿宋" w:eastAsia="仿宋" w:cs="仿宋"/>
        </w:rPr>
      </w:pPr>
      <w:r>
        <w:rPr>
          <w:rFonts w:hint="eastAsia" w:ascii="仿宋" w:hAnsi="仿宋" w:eastAsia="仿宋" w:cs="仿宋"/>
          <w:b/>
          <w:bCs/>
          <w:color w:val="000000"/>
          <w:kern w:val="0"/>
          <w:sz w:val="30"/>
          <w:szCs w:val="30"/>
          <w:lang w:val="en-US" w:eastAsia="zh-CN" w:bidi="ar"/>
        </w:rPr>
        <w:t xml:space="preserve">一、恩诺沙星 </w:t>
      </w:r>
    </w:p>
    <w:p>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恩诺沙星属于喹诺酮类抗菌消炎药，已广泛应用于禽畜和鱼类疾 </w:t>
      </w:r>
    </w:p>
    <w:p>
      <w:pPr>
        <w:keepNext w:val="0"/>
        <w:keepLines w:val="0"/>
        <w:widowControl/>
        <w:suppressLineNumbers w:val="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病防治，养殖环节未严格控制休药期或超量使用可能导致残留超标。 </w:t>
      </w:r>
    </w:p>
    <w:p>
      <w:pPr>
        <w:keepNext w:val="0"/>
        <w:keepLines w:val="0"/>
        <w:widowControl/>
        <w:suppressLineNumbers w:val="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长期食用恩诺沙星超标的动物性食品，可能导致该类药物在人体中产 </w:t>
      </w:r>
    </w:p>
    <w:p>
      <w:pPr>
        <w:keepNext w:val="0"/>
        <w:keepLines w:val="0"/>
        <w:widowControl/>
        <w:suppressLineNumbers w:val="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生蓄积，长期过量摄入将会给人体的健康带来危害。 </w:t>
      </w:r>
    </w:p>
    <w:p>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本次监督抽检发现有 1 批次食用农产品检出恩诺沙星的情况，超标的原因可能是养殖户在养殖过程中为了防治疾病而超量使用或没有加强用药控制所致。</w:t>
      </w:r>
    </w:p>
    <w:p>
      <w:pPr>
        <w:keepNext w:val="0"/>
        <w:keepLines w:val="0"/>
        <w:widowControl/>
        <w:suppressLineNumbers w:val="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   </w:t>
      </w:r>
      <w:r>
        <w:rPr>
          <w:rFonts w:hint="eastAsia" w:ascii="仿宋" w:hAnsi="仿宋" w:eastAsia="仿宋" w:cs="仿宋"/>
          <w:b/>
          <w:bCs/>
          <w:color w:val="000000"/>
          <w:kern w:val="0"/>
          <w:sz w:val="28"/>
          <w:szCs w:val="28"/>
          <w:lang w:val="en-US" w:eastAsia="zh-CN" w:bidi="ar"/>
        </w:rPr>
        <w:t xml:space="preserve"> 二、磺胺类药物（总量）</w:t>
      </w:r>
    </w:p>
    <w:p>
      <w:pPr>
        <w:keepNext w:val="0"/>
        <w:keepLines w:val="0"/>
        <w:widowControl/>
        <w:suppressLineNumbers w:val="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磺胺类药物（总量）是合成的抑菌类药物，除了治疗敏感菌所致传染病外，还用于传染性脑膜炎、痢疾、弓形体病，养殖环节未严格控制休药期或超量使用可能导致残留超标。磺胺类药物在体内作用和代谢时间较长，长期食用磺胺类药物超标的动物性食品，可能导致该类药物在人体中产生蓄积，长期过量摄入将会给人体的健康带来危害。</w:t>
      </w:r>
    </w:p>
    <w:p>
      <w:pPr>
        <w:keepNext w:val="0"/>
        <w:keepLines w:val="0"/>
        <w:widowControl/>
        <w:suppressLineNumbers w:val="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本次监督抽检发现有同一批次食用农产品样品（鲜鸡蛋）中存在磺胺类药物（总量）超标的情况，超标的原因可能是养殖户在养殖过程中为了防治疾病而超量使用或没有加强用药控制所致。</w:t>
      </w:r>
    </w:p>
    <w:p>
      <w:pPr>
        <w:keepNext w:val="0"/>
        <w:keepLines w:val="0"/>
        <w:widowControl/>
        <w:suppressLineNumbers w:val="0"/>
        <w:jc w:val="left"/>
        <w:rPr>
          <w:rFonts w:hint="eastAsia" w:ascii="仿宋" w:hAnsi="仿宋" w:eastAsia="仿宋" w:cs="仿宋"/>
          <w:color w:val="000000"/>
          <w:kern w:val="0"/>
          <w:sz w:val="28"/>
          <w:szCs w:val="28"/>
          <w:lang w:val="en-US" w:eastAsia="zh-CN" w:bidi="ar"/>
        </w:rPr>
      </w:pPr>
    </w:p>
    <w:p>
      <w:pPr>
        <w:keepNext w:val="0"/>
        <w:keepLines w:val="0"/>
        <w:widowControl/>
        <w:suppressLineNumbers w:val="0"/>
        <w:ind w:firstLine="562" w:firstLineChars="200"/>
        <w:jc w:val="left"/>
        <w:rPr>
          <w:rFonts w:hint="eastAsia" w:ascii="仿宋" w:hAnsi="仿宋" w:eastAsia="仿宋" w:cs="仿宋"/>
          <w:b/>
          <w:bCs/>
          <w:color w:val="000000"/>
          <w:kern w:val="0"/>
          <w:sz w:val="28"/>
          <w:szCs w:val="28"/>
          <w:lang w:val="en-US" w:eastAsia="zh-CN" w:bidi="ar"/>
        </w:rPr>
      </w:pPr>
      <w:r>
        <w:rPr>
          <w:rFonts w:hint="eastAsia" w:ascii="仿宋" w:hAnsi="仿宋" w:eastAsia="仿宋" w:cs="仿宋"/>
          <w:b/>
          <w:bCs/>
          <w:color w:val="000000"/>
          <w:kern w:val="0"/>
          <w:sz w:val="28"/>
          <w:szCs w:val="28"/>
          <w:lang w:val="en-US" w:eastAsia="zh-CN" w:bidi="ar"/>
        </w:rPr>
        <w:t xml:space="preserve">三、克百威 </w:t>
      </w:r>
    </w:p>
    <w:p>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克百威，又名呋喃丹，属于高毒农药，是一种广谱性杀虫、杀螨、 </w:t>
      </w:r>
    </w:p>
    <w:p>
      <w:pPr>
        <w:keepNext w:val="0"/>
        <w:keepLines w:val="0"/>
        <w:widowControl/>
        <w:suppressLineNumbers w:val="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杀线虫剂，不仅具有触杀、胃毒作用，并具有很强的内吸活性。《食 </w:t>
      </w:r>
    </w:p>
    <w:p>
      <w:pPr>
        <w:keepNext w:val="0"/>
        <w:keepLines w:val="0"/>
        <w:widowControl/>
        <w:suppressLineNumbers w:val="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品安全国家标准食品中农药最大残留限量》（GB 2763-2016）规定， </w:t>
      </w:r>
    </w:p>
    <w:p>
      <w:pPr>
        <w:keepNext w:val="0"/>
        <w:keepLines w:val="0"/>
        <w:widowControl/>
        <w:suppressLineNumbers w:val="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克百威在豆类蔬菜中的最大残留限量为 0.02mg/kg。少量的农药残留 </w:t>
      </w:r>
    </w:p>
    <w:p>
      <w:pPr>
        <w:keepNext w:val="0"/>
        <w:keepLines w:val="0"/>
        <w:widowControl/>
        <w:suppressLineNumbers w:val="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不会导致急性中毒，但长期大量食用农药残留超标的蔬菜，可对人体 </w:t>
      </w:r>
    </w:p>
    <w:p>
      <w:pPr>
        <w:keepNext w:val="0"/>
        <w:keepLines w:val="0"/>
        <w:widowControl/>
        <w:suppressLineNumbers w:val="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产生不同程度的健康影响风险。 </w:t>
      </w:r>
    </w:p>
    <w:p>
      <w:pPr>
        <w:keepNext w:val="0"/>
        <w:keepLines w:val="0"/>
        <w:widowControl/>
        <w:suppressLineNumbers w:val="0"/>
        <w:ind w:firstLine="560"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本次监督抽检发现 1 批次的食用农产品克百威超标。</w:t>
      </w:r>
    </w:p>
    <w:p>
      <w:pPr>
        <w:keepNext w:val="0"/>
        <w:keepLines w:val="0"/>
        <w:widowControl/>
        <w:suppressLineNumbers w:val="0"/>
        <w:ind w:firstLine="562" w:firstLineChars="200"/>
        <w:jc w:val="left"/>
        <w:rPr>
          <w:rFonts w:hint="eastAsia" w:ascii="仿宋" w:hAnsi="仿宋" w:eastAsia="仿宋" w:cs="仿宋"/>
          <w:color w:val="000000"/>
          <w:kern w:val="0"/>
          <w:sz w:val="28"/>
          <w:szCs w:val="28"/>
          <w:lang w:val="en-US" w:eastAsia="zh-CN" w:bidi="ar"/>
        </w:rPr>
      </w:pPr>
      <w:r>
        <w:rPr>
          <w:rFonts w:hint="eastAsia" w:ascii="仿宋" w:hAnsi="仿宋" w:eastAsia="仿宋" w:cs="仿宋"/>
          <w:b/>
          <w:bCs/>
          <w:color w:val="000000"/>
          <w:kern w:val="0"/>
          <w:sz w:val="28"/>
          <w:szCs w:val="28"/>
          <w:lang w:val="en-US" w:eastAsia="zh-CN" w:bidi="ar"/>
        </w:rPr>
        <w:t>四、二氧化硫</w:t>
      </w:r>
    </w:p>
    <w:p>
      <w:pPr>
        <w:keepNext w:val="0"/>
        <w:keepLines w:val="0"/>
        <w:widowControl/>
        <w:suppressLineNumbers w:val="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    二氧化硫是食品加工中常用的漂白剂和防腐剂，进入人体内后最终转化为硫酸盐并随尿液排出体外。少量二氧化硫进入人体不会对身体带来健康危害，但若过量食用会引起如恶心、呕吐等胃肠道反应。</w:t>
      </w:r>
    </w:p>
    <w:p>
      <w:pPr>
        <w:keepNext w:val="0"/>
        <w:keepLines w:val="0"/>
        <w:widowControl/>
        <w:suppressLineNumbers w:val="0"/>
        <w:jc w:val="left"/>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     本次监督抽检发现有4批次蔬菜干制品存在二氧化硫超标的情况。二氧化硫不符合标准的原因可能是个别生产者使用劣质原料以降低成本，其后为了提高产品色泽而超范围或超限量使用二氧化硫；也有可能是为增加原料的保质期，防止霉变生虫，而超范围或超限量使用二氧化硫；或是使用时不计量或计量不准确。</w:t>
      </w:r>
    </w:p>
    <w:p>
      <w:pPr>
        <w:pStyle w:val="4"/>
        <w:shd w:val="clear" w:color="auto" w:fill="FFFFFF"/>
        <w:spacing w:before="0" w:beforeAutospacing="0" w:after="0" w:afterAutospacing="0" w:line="560" w:lineRule="exact"/>
        <w:ind w:firstLine="600" w:firstLineChars="200"/>
        <w:jc w:val="both"/>
        <w:rPr>
          <w:rFonts w:ascii="仿宋" w:hAnsi="仿宋" w:eastAsia="仿宋"/>
          <w:sz w:val="32"/>
          <w:szCs w:val="32"/>
        </w:rPr>
      </w:pPr>
      <w:r>
        <w:rPr>
          <w:rFonts w:ascii="仿宋" w:hAnsi="仿宋" w:eastAsia="仿宋" w:cs="仿宋_GB2312"/>
          <w:sz w:val="30"/>
          <w:szCs w:val="30"/>
        </w:rPr>
        <w:br w:type="textWrapping"/>
      </w:r>
      <w:r>
        <w:rPr>
          <w:rFonts w:hint="eastAsia" w:ascii="仿宋" w:hAnsi="仿宋" w:eastAsia="仿宋"/>
          <w:sz w:val="32"/>
          <w:szCs w:val="32"/>
        </w:rPr>
        <w:t xml:space="preserve">   </w:t>
      </w:r>
    </w:p>
    <w:p>
      <w:pPr>
        <w:pStyle w:val="4"/>
        <w:shd w:val="clear" w:color="auto" w:fill="FFFFFF"/>
        <w:spacing w:before="0" w:beforeAutospacing="0" w:after="0" w:afterAutospacing="0" w:line="560" w:lineRule="exact"/>
        <w:ind w:firstLine="640" w:firstLineChars="200"/>
        <w:jc w:val="both"/>
        <w:rPr>
          <w:rFonts w:hint="eastAsia" w:ascii="仿宋" w:hAnsi="仿宋" w:eastAsia="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63B8"/>
    <w:rsid w:val="000263B8"/>
    <w:rsid w:val="001C694E"/>
    <w:rsid w:val="001F278C"/>
    <w:rsid w:val="0021531C"/>
    <w:rsid w:val="00272EAF"/>
    <w:rsid w:val="00374B64"/>
    <w:rsid w:val="003F4213"/>
    <w:rsid w:val="00486BF2"/>
    <w:rsid w:val="00536195"/>
    <w:rsid w:val="005C0EB8"/>
    <w:rsid w:val="0063749F"/>
    <w:rsid w:val="006949C8"/>
    <w:rsid w:val="00742317"/>
    <w:rsid w:val="007661C5"/>
    <w:rsid w:val="00866ACA"/>
    <w:rsid w:val="008F165C"/>
    <w:rsid w:val="008F4CD6"/>
    <w:rsid w:val="00906729"/>
    <w:rsid w:val="00985757"/>
    <w:rsid w:val="009D58B1"/>
    <w:rsid w:val="00A40BAA"/>
    <w:rsid w:val="00A81E37"/>
    <w:rsid w:val="00B05DAC"/>
    <w:rsid w:val="00C5322E"/>
    <w:rsid w:val="00C5699D"/>
    <w:rsid w:val="00CC43C1"/>
    <w:rsid w:val="00DC618F"/>
    <w:rsid w:val="00E84501"/>
    <w:rsid w:val="00E94238"/>
    <w:rsid w:val="00EF5553"/>
    <w:rsid w:val="00F817FE"/>
    <w:rsid w:val="00FA0E13"/>
    <w:rsid w:val="00FE4F84"/>
    <w:rsid w:val="123E7249"/>
    <w:rsid w:val="12E3245B"/>
    <w:rsid w:val="390F1776"/>
    <w:rsid w:val="42637E97"/>
    <w:rsid w:val="4558611F"/>
    <w:rsid w:val="4A190B97"/>
    <w:rsid w:val="4C657B55"/>
    <w:rsid w:val="5F266DEA"/>
    <w:rsid w:val="6076050E"/>
    <w:rsid w:val="681C0566"/>
    <w:rsid w:val="68BE3F64"/>
    <w:rsid w:val="71AA3F34"/>
    <w:rsid w:val="73CC0515"/>
    <w:rsid w:val="795B10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 w:type="character" w:customStyle="1" w:styleId="9">
    <w:name w:val="fontstyle01"/>
    <w:basedOn w:val="6"/>
    <w:qFormat/>
    <w:uiPriority w:val="0"/>
    <w:rPr>
      <w:rFonts w:ascii="仿宋_GB2312" w:eastAsia="仿宋_GB2312" w:cs="仿宋_GB2312"/>
      <w:color w:val="000000"/>
      <w:sz w:val="32"/>
      <w:szCs w:val="32"/>
    </w:rPr>
  </w:style>
  <w:style w:type="character" w:customStyle="1" w:styleId="10">
    <w:name w:val="fontstyle21"/>
    <w:basedOn w:val="6"/>
    <w:qFormat/>
    <w:uiPriority w:val="0"/>
    <w:rPr>
      <w:rFonts w:hint="default" w:ascii="Times New Roman" w:hAnsi="Times New Roman" w:cs="Times New Roman"/>
      <w:color w:val="000000"/>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186</Words>
  <Characters>1063</Characters>
  <Lines>8</Lines>
  <Paragraphs>2</Paragraphs>
  <TotalTime>10</TotalTime>
  <ScaleCrop>false</ScaleCrop>
  <LinksUpToDate>false</LinksUpToDate>
  <CharactersWithSpaces>1247</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2019-05-14T07:40:00Z</dcterms:created>
  <dc:creator>微软用户</dc:creator>
  <cp:lastModifiedBy>Administrator</cp:lastModifiedBy>
  <dcterms:modified xsi:type="dcterms:W3CDTF">2021-10-08T02:13:03Z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