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附件1 </w:t>
      </w:r>
      <w:r>
        <w:rPr>
          <w:rFonts w:hint="eastAsia" w:ascii="宋体" w:hAnsi="宋体" w:cs="宋体"/>
          <w:b/>
          <w:bCs/>
          <w:sz w:val="44"/>
          <w:szCs w:val="44"/>
        </w:rPr>
        <w:t xml:space="preserve">       </w:t>
      </w:r>
    </w:p>
    <w:p>
      <w:pPr>
        <w:ind w:left="420" w:leftChars="200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 xml:space="preserve">           本次检验项目</w:t>
      </w:r>
    </w:p>
    <w:p>
      <w:pPr>
        <w:ind w:left="420" w:leftChars="200"/>
        <w:rPr>
          <w:rFonts w:hint="eastAsia" w:ascii="宋体" w:hAnsi="宋体" w:cs="宋体"/>
          <w:b/>
          <w:bCs/>
          <w:sz w:val="44"/>
          <w:szCs w:val="44"/>
        </w:rPr>
      </w:pPr>
    </w:p>
    <w:p>
      <w:pPr>
        <w:ind w:left="420" w:leftChars="200" w:firstLine="803" w:firstLineChars="25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(一）抽检依据</w:t>
      </w:r>
    </w:p>
    <w:p>
      <w:pPr>
        <w:ind w:left="420" w:leftChars="200" w:firstLine="800" w:firstLineChars="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 食品中真菌毒素限量》( GB 2761-2017)、</w:t>
      </w:r>
      <w:r>
        <w:rPr>
          <w:rFonts w:ascii="仿宋_GB2312" w:hAnsi="仿宋_GB2312" w:eastAsia="仿宋_GB2312" w:cs="仿宋_GB2312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ascii="仿宋_GB2312" w:hAnsi="仿宋_GB2312" w:eastAsia="仿宋_GB2312" w:cs="仿宋_GB2312"/>
          <w:sz w:val="32"/>
          <w:szCs w:val="32"/>
        </w:rPr>
        <w:t>GB 2762-2017</w:t>
      </w:r>
      <w:r>
        <w:rPr>
          <w:rFonts w:hint="eastAsia" w:ascii="仿宋_GB2312" w:hAnsi="仿宋_GB2312" w:eastAsia="仿宋_GB2312" w:cs="仿宋_GB2312"/>
          <w:sz w:val="32"/>
          <w:szCs w:val="32"/>
        </w:rPr>
        <w:t>）、</w:t>
      </w:r>
      <w:r>
        <w:rPr>
          <w:rFonts w:ascii="仿宋_GB2312" w:hAnsi="仿宋_GB2312" w:eastAsia="仿宋_GB2312" w:cs="仿宋_GB2312"/>
          <w:sz w:val="32"/>
          <w:szCs w:val="32"/>
        </w:rPr>
        <w:t>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ascii="仿宋_GB2312" w:hAnsi="仿宋_GB2312" w:eastAsia="仿宋_GB2312" w:cs="仿宋_GB2312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sz w:val="32"/>
          <w:szCs w:val="32"/>
        </w:rPr>
        <w:t>）、《食品安全国家标准 消毒餐(饮)具》(GB 14934-2016)、《食品安全国家标准 植物油》（GB 2716-2018）等标准及产品明示标准和指标的要求。</w:t>
      </w:r>
    </w:p>
    <w:p>
      <w:pPr>
        <w:ind w:left="420" w:leftChars="200"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（二）检验项目</w:t>
      </w:r>
    </w:p>
    <w:p>
      <w:pPr>
        <w:ind w:firstLine="960" w:firstLineChars="3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铝的残留量（干样品，以Al计）、苯甲酸及其钠盐（以苯甲酸计）、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山梨酸及其钾盐（以山梨酸计）、糖精钠（以糖精计）胭脂红、脱氢乙酸及其钠盐（以脱氢乙酸计）、罂粟碱、吗啡、可待因、那可丁、蒂巴因、黄曲霉毒素B1、苯甲酸及其钠盐（以苯甲酸计）、安赛蜜、甜蜜素（以环己基氨基磺酸计）、酸价（KOH）、极性组分等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HorizontalSpacing w:val="0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480D4A"/>
    <w:rsid w:val="005F0EC3"/>
    <w:rsid w:val="0085708A"/>
    <w:rsid w:val="008D4A9E"/>
    <w:rsid w:val="00A768A5"/>
    <w:rsid w:val="00D7604D"/>
    <w:rsid w:val="00DD536D"/>
    <w:rsid w:val="338225AC"/>
    <w:rsid w:val="37451B9A"/>
    <w:rsid w:val="391B4875"/>
    <w:rsid w:val="50F34CBD"/>
    <w:rsid w:val="7850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 w:cs="黑体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73</Words>
  <Characters>419</Characters>
  <Lines>3</Lines>
  <Paragraphs>1</Paragraphs>
  <TotalTime>14</TotalTime>
  <ScaleCrop>false</ScaleCrop>
  <LinksUpToDate>false</LinksUpToDate>
  <CharactersWithSpaces>491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2021-08-26T08:43:00Z</dcterms:created>
  <dc:creator>Administrator</dc:creator>
  <cp:lastModifiedBy>禅豆豆</cp:lastModifiedBy>
  <dcterms:modified xsi:type="dcterms:W3CDTF">2021-09-07T08:34:14Z</dcterms:modified>
  <dc:title>Windy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1ACAA5C61F3F4648BAE212F73363B751</vt:lpwstr>
  </property>
</Properties>
</file>