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rPr>
          <w:rFonts w:hint="eastAsia" w:ascii="宋体" w:hAnsi="宋体" w:eastAsia="宋体"/>
          <w:sz w:val="32"/>
          <w:szCs w:val="32"/>
          <w:lang w:eastAsia="zh-CN"/>
        </w:rPr>
      </w:pPr>
      <w:r>
        <w:rPr>
          <w:rFonts w:hint="eastAsia" w:ascii="宋体" w:hAnsi="宋体"/>
          <w:sz w:val="32"/>
          <w:szCs w:val="32"/>
        </w:rPr>
        <w:t>附件</w:t>
      </w:r>
      <w:r>
        <w:rPr>
          <w:rFonts w:hint="eastAsia" w:ascii="宋体" w:hAnsi="宋体"/>
          <w:sz w:val="32"/>
          <w:szCs w:val="32"/>
          <w:lang w:val="en-US" w:eastAsia="zh-CN"/>
        </w:rPr>
        <w:t>3</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关于</w:t>
      </w:r>
      <w:r>
        <w:rPr>
          <w:rFonts w:hint="eastAsia" w:ascii="方正小标宋简体" w:eastAsia="方正小标宋简体"/>
          <w:sz w:val="44"/>
          <w:szCs w:val="44"/>
          <w:lang w:eastAsia="zh-CN"/>
        </w:rPr>
        <w:t>部分检验依据、项目的</w:t>
      </w:r>
      <w:r>
        <w:rPr>
          <w:rFonts w:hint="eastAsia" w:ascii="方正小标宋简体" w:eastAsia="方正小标宋简体"/>
          <w:sz w:val="44"/>
          <w:szCs w:val="44"/>
        </w:rPr>
        <w:t>说明</w:t>
      </w:r>
    </w:p>
    <w:p>
      <w:pPr>
        <w:spacing w:line="600" w:lineRule="exact"/>
        <w:ind w:firstLine="643" w:firstLineChars="200"/>
        <w:rPr>
          <w:rFonts w:ascii="仿宋_GB2312" w:hAnsi="Times New Roman" w:eastAsia="仿宋_GB2312"/>
          <w:b/>
          <w:sz w:val="32"/>
          <w:szCs w:val="32"/>
        </w:rPr>
      </w:pPr>
    </w:p>
    <w:p>
      <w:pPr>
        <w:pStyle w:val="9"/>
        <w:numPr>
          <w:ilvl w:val="0"/>
          <w:numId w:val="1"/>
        </w:numPr>
        <w:spacing w:line="600" w:lineRule="exact"/>
        <w:ind w:left="958" w:leftChars="304" w:hanging="320" w:hangingChars="100"/>
        <w:jc w:val="both"/>
        <w:rPr>
          <w:rFonts w:hint="eastAsia" w:hAnsi="宋体" w:eastAsia="仿宋_GB2312" w:cs="Times New Roman"/>
          <w:color w:val="auto"/>
          <w:kern w:val="2"/>
          <w:sz w:val="32"/>
          <w:szCs w:val="32"/>
          <w:highlight w:val="none"/>
        </w:rPr>
      </w:pPr>
      <w:r>
        <w:rPr>
          <w:rFonts w:hint="eastAsia" w:hAnsi="宋体" w:eastAsia="仿宋_GB2312" w:cs="Times New Roman"/>
          <w:color w:val="auto"/>
          <w:kern w:val="2"/>
          <w:sz w:val="32"/>
          <w:szCs w:val="32"/>
        </w:rPr>
        <w:t>抽检依据</w:t>
      </w:r>
    </w:p>
    <w:p>
      <w:pPr>
        <w:pStyle w:val="9"/>
        <w:numPr>
          <w:ilvl w:val="0"/>
          <w:numId w:val="2"/>
        </w:numPr>
        <w:spacing w:line="600" w:lineRule="exact"/>
        <w:ind w:firstLine="640" w:firstLineChars="200"/>
        <w:jc w:val="both"/>
        <w:rPr>
          <w:rFonts w:hint="eastAsia" w:hAnsi="宋体" w:eastAsia="仿宋_GB2312" w:cs="Times New Roman"/>
          <w:color w:val="auto"/>
          <w:kern w:val="2"/>
          <w:sz w:val="32"/>
          <w:szCs w:val="32"/>
        </w:rPr>
      </w:pPr>
      <w:r>
        <w:rPr>
          <w:rFonts w:hint="eastAsia" w:hAnsi="宋体" w:eastAsia="仿宋_GB2312" w:cs="Times New Roman"/>
          <w:color w:val="auto"/>
          <w:kern w:val="2"/>
          <w:sz w:val="32"/>
          <w:szCs w:val="32"/>
        </w:rPr>
        <w:t>食用农产品</w:t>
      </w:r>
    </w:p>
    <w:p>
      <w:pPr>
        <w:pStyle w:val="9"/>
        <w:spacing w:line="600" w:lineRule="exact"/>
        <w:ind w:firstLine="640" w:firstLineChars="200"/>
        <w:jc w:val="both"/>
        <w:rPr>
          <w:rFonts w:hint="eastAsia" w:hAnsi="宋体" w:eastAsia="仿宋_GB2312" w:cs="Times New Roman"/>
          <w:color w:val="auto"/>
          <w:kern w:val="2"/>
          <w:sz w:val="32"/>
          <w:szCs w:val="32"/>
          <w:highlight w:val="none"/>
        </w:rPr>
      </w:pPr>
      <w:r>
        <w:rPr>
          <w:rFonts w:hint="eastAsia" w:hAnsi="宋体" w:eastAsia="仿宋_GB2312" w:cs="Times New Roman"/>
          <w:color w:val="auto"/>
          <w:kern w:val="2"/>
          <w:sz w:val="32"/>
          <w:szCs w:val="32"/>
          <w:highlight w:val="none"/>
        </w:rPr>
        <w:t>《食品安全国家标准 食品中污染物限量》(GB 2762-2017)</w:t>
      </w:r>
      <w:r>
        <w:rPr>
          <w:rFonts w:hint="eastAsia" w:hAnsi="宋体" w:eastAsia="仿宋_GB2312" w:cs="Times New Roman"/>
          <w:color w:val="auto"/>
          <w:kern w:val="2"/>
          <w:sz w:val="32"/>
          <w:szCs w:val="32"/>
          <w:highlight w:val="none"/>
          <w:lang w:val="en-US" w:eastAsia="zh-CN"/>
        </w:rPr>
        <w:t>、《食品安全国家标准 食品中农药最大残留限量》(GB 2763-2019)、</w:t>
      </w:r>
      <w:r>
        <w:rPr>
          <w:rFonts w:hint="eastAsia" w:hAnsi="宋体" w:eastAsia="仿宋_GB2312" w:cs="Times New Roman"/>
          <w:color w:val="auto"/>
          <w:kern w:val="2"/>
          <w:sz w:val="32"/>
          <w:szCs w:val="32"/>
          <w:highlight w:val="none"/>
        </w:rPr>
        <w:t>《国家食品药品监督管理总局 农业部 国家卫生和计划生育委员会公告》(2015年第11号)等标准及产品明示标准和指标的要求</w:t>
      </w:r>
      <w:r>
        <w:rPr>
          <w:rFonts w:hint="eastAsia" w:hAnsi="宋体" w:eastAsia="仿宋_GB2312" w:cs="Times New Roman"/>
          <w:color w:val="auto"/>
          <w:kern w:val="2"/>
          <w:sz w:val="32"/>
          <w:szCs w:val="32"/>
          <w:highlight w:val="none"/>
          <w:lang w:eastAsia="zh-CN"/>
        </w:rPr>
        <w:t>。</w:t>
      </w:r>
    </w:p>
    <w:p>
      <w:pPr>
        <w:pStyle w:val="9"/>
        <w:numPr>
          <w:numId w:val="0"/>
        </w:numPr>
        <w:spacing w:line="600" w:lineRule="exact"/>
        <w:jc w:val="both"/>
        <w:rPr>
          <w:rFonts w:hint="eastAsia" w:hAnsi="宋体" w:eastAsia="仿宋_GB2312" w:cs="Times New Roman"/>
          <w:color w:val="auto"/>
          <w:kern w:val="2"/>
          <w:sz w:val="32"/>
          <w:szCs w:val="32"/>
          <w:lang w:eastAsia="zh-CN"/>
        </w:rPr>
      </w:pPr>
    </w:p>
    <w:p>
      <w:pPr>
        <w:pStyle w:val="9"/>
        <w:numPr>
          <w:ilvl w:val="0"/>
          <w:numId w:val="1"/>
        </w:numPr>
        <w:spacing w:line="600" w:lineRule="exact"/>
        <w:ind w:left="958" w:leftChars="304" w:hanging="320" w:hangingChars="100"/>
        <w:jc w:val="both"/>
        <w:rPr>
          <w:rFonts w:hint="eastAsia" w:hAnsi="宋体" w:eastAsia="仿宋_GB2312" w:cs="Times New Roman"/>
          <w:color w:val="auto"/>
          <w:kern w:val="2"/>
          <w:sz w:val="32"/>
          <w:szCs w:val="32"/>
          <w:highlight w:val="none"/>
        </w:rPr>
      </w:pPr>
      <w:r>
        <w:rPr>
          <w:rFonts w:hint="eastAsia" w:hAnsi="宋体" w:eastAsia="仿宋_GB2312" w:cs="Times New Roman"/>
          <w:color w:val="auto"/>
          <w:kern w:val="2"/>
          <w:sz w:val="32"/>
          <w:szCs w:val="32"/>
          <w:highlight w:val="none"/>
          <w:lang w:eastAsia="zh-CN"/>
        </w:rPr>
        <w:t>检验项目的</w:t>
      </w:r>
      <w:r>
        <w:rPr>
          <w:rFonts w:hint="eastAsia" w:hAnsi="宋体" w:eastAsia="仿宋_GB2312" w:cs="Times New Roman"/>
          <w:color w:val="auto"/>
          <w:kern w:val="2"/>
          <w:sz w:val="32"/>
          <w:szCs w:val="32"/>
          <w:highlight w:val="none"/>
        </w:rPr>
        <w:t>说明</w:t>
      </w:r>
    </w:p>
    <w:p>
      <w:pPr>
        <w:pStyle w:val="9"/>
        <w:numPr>
          <w:ilvl w:val="0"/>
          <w:numId w:val="3"/>
        </w:numPr>
        <w:spacing w:line="600" w:lineRule="exact"/>
        <w:ind w:firstLine="640" w:firstLineChars="200"/>
        <w:jc w:val="both"/>
        <w:rPr>
          <w:rFonts w:hint="eastAsia" w:hAnsi="宋体" w:eastAsia="仿宋_GB2312" w:cs="Times New Roman"/>
          <w:color w:val="auto"/>
          <w:kern w:val="2"/>
          <w:sz w:val="32"/>
          <w:szCs w:val="32"/>
          <w:highlight w:val="none"/>
          <w:lang w:val="en-US" w:eastAsia="zh-CN"/>
        </w:rPr>
      </w:pPr>
      <w:r>
        <w:rPr>
          <w:rFonts w:hint="eastAsia" w:hAnsi="宋体" w:eastAsia="仿宋_GB2312" w:cs="Times New Roman"/>
          <w:color w:val="auto"/>
          <w:kern w:val="2"/>
          <w:sz w:val="32"/>
          <w:szCs w:val="32"/>
          <w:highlight w:val="none"/>
          <w:lang w:val="en-US" w:eastAsia="zh-CN"/>
        </w:rPr>
        <w:t>氯氟氰菊酯和高效氯氟氰菊酯</w:t>
      </w:r>
    </w:p>
    <w:p>
      <w:pPr>
        <w:spacing w:line="560" w:lineRule="exact"/>
        <w:ind w:firstLine="640" w:firstLineChars="200"/>
        <w:jc w:val="left"/>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zh-CN" w:eastAsia="zh-CN" w:bidi="ar-SA"/>
        </w:rPr>
        <w:t>氯氟氰菊酯，是广谱型杀虫剂，在试验剂量内对动物无致畸、致突变、致癌作用。高效氯氟氰菊酯又叫三氟氯氟氰菊酯、功夫菊酯。它的药效特点，抑制昆虫神经轴突部位的传导，对昆虫具有趋避、击倒及毒杀的作用，杀虫谱广，活性较高，药效迅速，喷洒后耐雨水冲刷，但长期使用易对其产生抗性，对刺吸式口器的害虫及害螨有一定防效，作用机理与氰戊菊酯、氟氰菊酯相同。不合格原因主要是种植过程中违规使用。</w:t>
      </w:r>
    </w:p>
    <w:p>
      <w:pPr>
        <w:pStyle w:val="9"/>
        <w:numPr>
          <w:ilvl w:val="0"/>
          <w:numId w:val="3"/>
        </w:numPr>
        <w:spacing w:line="600" w:lineRule="exact"/>
        <w:ind w:firstLine="640" w:firstLineChars="200"/>
        <w:jc w:val="both"/>
        <w:rPr>
          <w:rFonts w:hint="default" w:hAnsi="宋体" w:eastAsia="仿宋_GB2312" w:cs="Times New Roman"/>
          <w:color w:val="auto"/>
          <w:kern w:val="2"/>
          <w:sz w:val="32"/>
          <w:szCs w:val="32"/>
          <w:highlight w:val="none"/>
          <w:lang w:val="en-US" w:eastAsia="zh-CN"/>
        </w:rPr>
      </w:pPr>
      <w:r>
        <w:rPr>
          <w:rFonts w:hint="default" w:hAnsi="宋体" w:eastAsia="仿宋_GB2312" w:cs="Times New Roman"/>
          <w:color w:val="auto"/>
          <w:kern w:val="2"/>
          <w:sz w:val="32"/>
          <w:szCs w:val="32"/>
          <w:highlight w:val="none"/>
          <w:lang w:val="en-US" w:eastAsia="zh-CN"/>
        </w:rPr>
        <w:t>克百威</w:t>
      </w:r>
    </w:p>
    <w:p>
      <w:pPr>
        <w:spacing w:line="560" w:lineRule="exact"/>
        <w:ind w:firstLine="640" w:firstLineChars="200"/>
        <w:jc w:val="left"/>
        <w:rPr>
          <w:rFonts w:hint="default" w:hAnsi="宋体" w:eastAsia="仿宋_GB2312" w:cs="Times New Roman"/>
          <w:color w:val="auto"/>
          <w:kern w:val="2"/>
          <w:sz w:val="32"/>
          <w:szCs w:val="32"/>
          <w:highlight w:val="none"/>
          <w:lang w:val="en-US" w:eastAsia="zh-CN"/>
        </w:rPr>
      </w:pPr>
      <w:r>
        <w:rPr>
          <w:rFonts w:hint="eastAsia" w:ascii="仿宋_GB2312" w:hAnsi="宋体" w:eastAsia="仿宋_GB2312" w:cs="Times New Roman"/>
          <w:color w:val="auto"/>
          <w:kern w:val="2"/>
          <w:sz w:val="32"/>
          <w:szCs w:val="32"/>
          <w:lang w:val="zh-CN" w:eastAsia="zh-CN" w:bidi="ar-SA"/>
        </w:rPr>
        <w:t>克百威属高毒杀虫剂，是广谱性杀虫、杀线虫剂。克百威属高毒杀虫剂。对眼睛和皮肤无刺激作用。在试验剂量内对动物无致畸、致突变、致癌作用。对鱼、鸟高毒，对蜜蜂无毒害。能被植物根部吸收，并输送到植物各器官，以叶缘最多。土壤处量残效期长，稻田水面撒施残效期短。适用于水稻、棉花、烟草、大豆等作物上多种害虫的防治，也可专门用作种子处理剂使用。农业部199号公告规定：禁止克百威在蔬菜、果树、茶叶和中草药材上使用。本次检出克百威超标可能是该种植户对国家相关法规不了解，违规使用克百威农药导致。</w:t>
      </w:r>
    </w:p>
    <w:p>
      <w:pPr>
        <w:pStyle w:val="9"/>
        <w:numPr>
          <w:ilvl w:val="0"/>
          <w:numId w:val="3"/>
        </w:numPr>
        <w:spacing w:line="600" w:lineRule="exact"/>
        <w:ind w:firstLine="640" w:firstLineChars="200"/>
        <w:jc w:val="both"/>
        <w:rPr>
          <w:rFonts w:hint="default" w:hAnsi="宋体" w:eastAsia="仿宋_GB2312" w:cs="Times New Roman"/>
          <w:color w:val="auto"/>
          <w:kern w:val="2"/>
          <w:sz w:val="32"/>
          <w:szCs w:val="32"/>
          <w:highlight w:val="none"/>
          <w:lang w:val="en-US" w:eastAsia="zh-CN"/>
        </w:rPr>
      </w:pPr>
      <w:r>
        <w:rPr>
          <w:rFonts w:hint="default" w:hAnsi="宋体" w:eastAsia="仿宋_GB2312" w:cs="Times New Roman"/>
          <w:color w:val="auto"/>
          <w:kern w:val="2"/>
          <w:sz w:val="32"/>
          <w:szCs w:val="32"/>
          <w:highlight w:val="none"/>
          <w:lang w:val="en-US" w:eastAsia="zh-CN"/>
        </w:rPr>
        <w:t>灭蝇胺</w:t>
      </w:r>
    </w:p>
    <w:p>
      <w:pPr>
        <w:spacing w:line="560" w:lineRule="exact"/>
        <w:ind w:firstLine="640" w:firstLineChars="200"/>
        <w:jc w:val="left"/>
        <w:rPr>
          <w:rFonts w:hint="default" w:hAnsi="宋体" w:eastAsia="仿宋_GB2312" w:cs="Times New Roman"/>
          <w:color w:val="auto"/>
          <w:kern w:val="2"/>
          <w:sz w:val="32"/>
          <w:szCs w:val="32"/>
          <w:highlight w:val="none"/>
          <w:lang w:val="en-US" w:eastAsia="zh-CN"/>
        </w:rPr>
      </w:pPr>
      <w:r>
        <w:rPr>
          <w:rFonts w:hint="eastAsia" w:ascii="仿宋_GB2312" w:hAnsi="宋体" w:eastAsia="仿宋_GB2312" w:cs="Times New Roman"/>
          <w:color w:val="auto"/>
          <w:kern w:val="2"/>
          <w:sz w:val="32"/>
          <w:szCs w:val="32"/>
          <w:lang w:val="en-US" w:eastAsia="zh-CN" w:bidi="ar-SA"/>
        </w:rPr>
        <w:t>灭蝇胺是一种昆虫生长调节剂类低毒杀虫剂，有非常强的选择性，主要对双翅目昆虫有活性。</w:t>
      </w:r>
      <w:r>
        <w:rPr>
          <w:rFonts w:hint="eastAsia" w:ascii="仿宋_GB2312" w:hAnsi="宋体" w:eastAsia="仿宋_GB2312" w:cs="Times New Roman"/>
          <w:color w:val="auto"/>
          <w:kern w:val="2"/>
          <w:sz w:val="32"/>
          <w:szCs w:val="32"/>
          <w:lang w:val="zh-CN" w:eastAsia="zh-CN" w:bidi="ar-SA"/>
        </w:rPr>
        <w:t>灭蝇胺适用于多种瓜果蔬菜，主要对"蝇类"害虫具有良好的杀虫作用。目前瓜果蔬菜生产中主要用于防治:各种瓜果类、茄果类、豆类及多种叶菜类蔬菜的美州斑潜蝇、南美斑潜蝇、豆杆黑潜蝇、葱斑潜叶蝇、三叶斑潜蝇等多种潜叶蝇，韭菜及葱、蒜的根蛆(韭菜赤眼草蚊)等。</w:t>
      </w:r>
      <w:r>
        <w:rPr>
          <w:rFonts w:hint="eastAsia" w:ascii="仿宋_GB2312" w:hAnsi="宋体" w:eastAsia="仿宋_GB2312" w:cs="Times New Roman"/>
          <w:color w:val="auto"/>
          <w:kern w:val="2"/>
          <w:sz w:val="32"/>
          <w:szCs w:val="32"/>
          <w:lang w:val="en-US" w:eastAsia="zh-CN" w:bidi="ar-SA"/>
        </w:rPr>
        <w:t>灭蝇胺</w:t>
      </w:r>
      <w:r>
        <w:rPr>
          <w:rFonts w:hint="eastAsia" w:ascii="仿宋_GB2312" w:hAnsi="宋体" w:eastAsia="仿宋_GB2312" w:cs="Times New Roman"/>
          <w:color w:val="auto"/>
          <w:kern w:val="2"/>
          <w:sz w:val="32"/>
          <w:szCs w:val="32"/>
          <w:lang w:val="zh-CN" w:eastAsia="zh-CN" w:bidi="ar-SA"/>
        </w:rPr>
        <w:t>持效期较长，但作用速度较慢。</w:t>
      </w:r>
    </w:p>
    <w:p>
      <w:pPr>
        <w:pStyle w:val="9"/>
        <w:numPr>
          <w:ilvl w:val="0"/>
          <w:numId w:val="3"/>
        </w:numPr>
        <w:spacing w:line="600" w:lineRule="exact"/>
        <w:ind w:firstLine="640" w:firstLineChars="200"/>
        <w:jc w:val="both"/>
        <w:rPr>
          <w:rFonts w:hint="default" w:hAnsi="宋体" w:eastAsia="仿宋_GB2312" w:cs="Times New Roman"/>
          <w:color w:val="auto"/>
          <w:kern w:val="2"/>
          <w:sz w:val="32"/>
          <w:szCs w:val="32"/>
          <w:highlight w:val="none"/>
          <w:lang w:val="en-US" w:eastAsia="zh-CN"/>
        </w:rPr>
      </w:pPr>
      <w:r>
        <w:rPr>
          <w:rFonts w:hint="default" w:hAnsi="宋体" w:eastAsia="仿宋_GB2312" w:cs="Times New Roman"/>
          <w:color w:val="auto"/>
          <w:kern w:val="2"/>
          <w:sz w:val="32"/>
          <w:szCs w:val="32"/>
          <w:highlight w:val="none"/>
          <w:lang w:val="en-US" w:eastAsia="zh-CN"/>
        </w:rPr>
        <w:t>铅(以Pb计)</w:t>
      </w:r>
    </w:p>
    <w:p>
      <w:pPr>
        <w:spacing w:line="560" w:lineRule="exact"/>
        <w:ind w:firstLine="640" w:firstLineChars="200"/>
        <w:jc w:val="left"/>
        <w:rPr>
          <w:rFonts w:hint="default" w:ascii="仿宋_GB2312" w:hAnsi="宋体" w:eastAsia="仿宋_GB2312" w:cs="Times New Roman"/>
          <w:color w:val="auto"/>
          <w:kern w:val="2"/>
          <w:sz w:val="32"/>
          <w:szCs w:val="32"/>
          <w:lang w:val="en-US" w:eastAsia="zh-CN" w:bidi="ar-SA"/>
        </w:rPr>
      </w:pPr>
      <w:r>
        <w:rPr>
          <w:rFonts w:hint="eastAsia" w:ascii="仿宋_GB2312" w:hAnsi="宋体" w:eastAsia="仿宋_GB2312" w:cs="Times New Roman"/>
          <w:color w:val="auto"/>
          <w:kern w:val="2"/>
          <w:sz w:val="32"/>
          <w:szCs w:val="32"/>
          <w:lang w:val="zh-CN" w:eastAsia="zh-CN" w:bidi="ar-SA"/>
        </w:rPr>
        <w:t>铅是一种自然界中广泛存在的重金属元素，具有蓄积性。铅超标的原因，可能是生产企业对原料质量把关不严，使用了铅含量超标的原料，或生产加工环境不符合要求，由生产设备迁移入产品等导致。</w:t>
      </w:r>
    </w:p>
    <w:p>
      <w:pPr>
        <w:pStyle w:val="9"/>
        <w:numPr>
          <w:ilvl w:val="0"/>
          <w:numId w:val="3"/>
        </w:numPr>
        <w:spacing w:line="600" w:lineRule="exact"/>
        <w:ind w:firstLine="640" w:firstLineChars="200"/>
        <w:jc w:val="both"/>
        <w:rPr>
          <w:rFonts w:hint="default" w:hAnsi="宋体" w:eastAsia="仿宋_GB2312" w:cs="Times New Roman"/>
          <w:color w:val="auto"/>
          <w:kern w:val="2"/>
          <w:sz w:val="32"/>
          <w:szCs w:val="32"/>
          <w:highlight w:val="none"/>
          <w:lang w:val="en-US" w:eastAsia="zh-CN"/>
        </w:rPr>
      </w:pPr>
      <w:r>
        <w:rPr>
          <w:rFonts w:hint="default" w:hAnsi="宋体" w:eastAsia="仿宋_GB2312" w:cs="Times New Roman"/>
          <w:color w:val="auto"/>
          <w:kern w:val="2"/>
          <w:sz w:val="32"/>
          <w:szCs w:val="32"/>
          <w:highlight w:val="none"/>
          <w:lang w:val="en-US" w:eastAsia="zh-CN"/>
        </w:rPr>
        <w:t>镉(以Cd计)</w:t>
      </w:r>
    </w:p>
    <w:p>
      <w:pPr>
        <w:spacing w:line="560" w:lineRule="exact"/>
        <w:ind w:firstLine="640" w:firstLineChars="200"/>
        <w:jc w:val="left"/>
        <w:rPr>
          <w:rFonts w:hint="default" w:hAnsi="宋体" w:eastAsia="仿宋_GB2312" w:cs="Times New Roman"/>
          <w:color w:val="auto"/>
          <w:kern w:val="2"/>
          <w:sz w:val="32"/>
          <w:szCs w:val="32"/>
          <w:highlight w:val="none"/>
          <w:lang w:val="en-US" w:eastAsia="zh-CN"/>
        </w:rPr>
      </w:pPr>
      <w:r>
        <w:rPr>
          <w:rFonts w:hint="eastAsia" w:ascii="仿宋" w:hAnsi="仿宋" w:eastAsia="仿宋" w:cs="仿宋"/>
          <w:sz w:val="32"/>
          <w:szCs w:val="32"/>
          <w:lang w:val="zh-CN" w:eastAsia="zh-CN" w:bidi="zh-CN"/>
        </w:rPr>
        <w:t>镉属于重金属元素，会在水体生物，如鱼类、浮游动物等体内积累富集，镉超标的原因可能是因为水体、环境等遭受重金属污染，继而在水产动物体内富集而导致。</w:t>
      </w:r>
    </w:p>
    <w:p>
      <w:pPr>
        <w:pStyle w:val="9"/>
        <w:numPr>
          <w:ilvl w:val="0"/>
          <w:numId w:val="3"/>
        </w:numPr>
        <w:spacing w:line="600" w:lineRule="exact"/>
        <w:ind w:firstLine="640" w:firstLineChars="200"/>
        <w:jc w:val="both"/>
        <w:rPr>
          <w:rFonts w:hint="default" w:hAnsi="宋体" w:eastAsia="仿宋_GB2312" w:cs="Times New Roman"/>
          <w:color w:val="auto"/>
          <w:kern w:val="2"/>
          <w:sz w:val="32"/>
          <w:szCs w:val="32"/>
          <w:highlight w:val="none"/>
          <w:lang w:val="en-US" w:eastAsia="zh-CN"/>
        </w:rPr>
      </w:pPr>
      <w:r>
        <w:rPr>
          <w:rFonts w:hint="default" w:hAnsi="宋体" w:eastAsia="仿宋_GB2312" w:cs="Times New Roman"/>
          <w:color w:val="auto"/>
          <w:kern w:val="2"/>
          <w:sz w:val="32"/>
          <w:szCs w:val="32"/>
          <w:highlight w:val="none"/>
          <w:lang w:val="en-US" w:eastAsia="zh-CN"/>
        </w:rPr>
        <w:t>4-氯苯氧乙酸钠</w:t>
      </w:r>
    </w:p>
    <w:p>
      <w:pPr>
        <w:spacing w:line="560" w:lineRule="exact"/>
        <w:ind w:firstLine="640" w:firstLineChars="200"/>
        <w:jc w:val="left"/>
        <w:rPr>
          <w:rFonts w:hint="default" w:ascii="仿宋" w:hAnsi="仿宋" w:eastAsia="仿宋" w:cs="仿宋"/>
          <w:sz w:val="32"/>
          <w:szCs w:val="32"/>
          <w:lang w:val="en-US" w:eastAsia="zh-CN" w:bidi="zh-CN"/>
        </w:rPr>
      </w:pPr>
      <w:r>
        <w:rPr>
          <w:rFonts w:hint="eastAsia" w:ascii="仿宋" w:hAnsi="仿宋" w:eastAsia="仿宋" w:cs="仿宋"/>
          <w:sz w:val="32"/>
          <w:szCs w:val="32"/>
          <w:lang w:val="zh-CN" w:eastAsia="zh-CN" w:bidi="zh-CN"/>
        </w:rPr>
        <w:t>氯苯氧乙酸钠，是一种植物生长调节剂。主要用于防止落花落果、抑制豆类生根等，并能调节植物株内激素的平衡。豆芽中检出4-氯苯氧乙酸钠可能是由于豆芽生产商在生产过程中为了抑制豆芽生根，提高豆芽产量而违规使用。原国家食品药品监督管理总局、农业部、国家卫生和计划生育委员会关于豆芽生产过程中禁止使用 6-苄基腺嘌呤等物质的公告年第 11 号）规定豆芽生产经营过程中禁止使用 4-氯苯氧乙酸钠。</w:t>
      </w:r>
    </w:p>
    <w:p>
      <w:pPr>
        <w:pStyle w:val="9"/>
        <w:numPr>
          <w:ilvl w:val="0"/>
          <w:numId w:val="3"/>
        </w:numPr>
        <w:spacing w:line="600" w:lineRule="exact"/>
        <w:ind w:firstLine="640" w:firstLineChars="200"/>
        <w:jc w:val="both"/>
        <w:rPr>
          <w:rFonts w:hint="default" w:hAnsi="宋体" w:eastAsia="仿宋_GB2312" w:cs="Times New Roman"/>
          <w:color w:val="auto"/>
          <w:kern w:val="2"/>
          <w:sz w:val="32"/>
          <w:szCs w:val="32"/>
          <w:highlight w:val="none"/>
          <w:lang w:val="en-US" w:eastAsia="zh-CN"/>
        </w:rPr>
      </w:pPr>
      <w:r>
        <w:rPr>
          <w:rFonts w:hint="default" w:hAnsi="宋体" w:eastAsia="仿宋_GB2312" w:cs="Times New Roman"/>
          <w:color w:val="auto"/>
          <w:kern w:val="2"/>
          <w:sz w:val="32"/>
          <w:szCs w:val="32"/>
          <w:highlight w:val="none"/>
          <w:lang w:val="en-US" w:eastAsia="zh-CN"/>
        </w:rPr>
        <w:t>吡虫啉</w:t>
      </w:r>
    </w:p>
    <w:p>
      <w:pPr>
        <w:spacing w:line="560" w:lineRule="exact"/>
        <w:ind w:firstLine="640" w:firstLineChars="200"/>
        <w:jc w:val="left"/>
        <w:rPr>
          <w:rFonts w:hint="default" w:hAnsi="宋体" w:eastAsia="仿宋_GB2312" w:cs="Times New Roman"/>
          <w:color w:val="auto"/>
          <w:kern w:val="2"/>
          <w:sz w:val="32"/>
          <w:szCs w:val="32"/>
          <w:highlight w:val="none"/>
          <w:lang w:val="en-US" w:eastAsia="zh-CN"/>
        </w:rPr>
      </w:pPr>
      <w:r>
        <w:rPr>
          <w:rFonts w:hint="eastAsia" w:ascii="仿宋" w:hAnsi="仿宋" w:eastAsia="仿宋" w:cs="仿宋"/>
          <w:sz w:val="32"/>
          <w:szCs w:val="32"/>
          <w:highlight w:val="none"/>
          <w:lang w:val="en-US" w:eastAsia="zh-CN" w:bidi="zh-CN"/>
        </w:rPr>
        <w:t>吡虫啉是烟碱类超高效杀虫剂，具有广谱、高效、低毒、低残留，害虫不易产生抗性，并有触杀、胃毒和内吸等多重作用。害虫接触药剂后，中枢神经正常传导受阻，使其麻痹死亡。产品速效性好，药后1天即有较高的防效，残留期长达25天左右。药效和温度呈正相关，温度高，杀虫效果好。主要用于防治刺吸式口器害虫。吡虫啉超标的可能原因是： 1.种植户为了追求良好的杀虫效果，超剂量使用吡虫啉。 2.种植户没有按规定的休药期进行采摘，从而导致吡虫啉残留量超标。 3.种植土壤、水源中的吡虫啉残留超标。</w:t>
      </w:r>
    </w:p>
    <w:p>
      <w:pPr>
        <w:pStyle w:val="9"/>
        <w:numPr>
          <w:ilvl w:val="0"/>
          <w:numId w:val="3"/>
        </w:numPr>
        <w:spacing w:line="600" w:lineRule="exact"/>
        <w:ind w:firstLine="640" w:firstLineChars="200"/>
        <w:jc w:val="both"/>
        <w:rPr>
          <w:rFonts w:hint="default" w:hAnsi="宋体" w:eastAsia="仿宋_GB2312" w:cs="Times New Roman"/>
          <w:color w:val="auto"/>
          <w:kern w:val="2"/>
          <w:sz w:val="32"/>
          <w:szCs w:val="32"/>
          <w:highlight w:val="none"/>
          <w:lang w:val="en-US" w:eastAsia="zh-CN"/>
        </w:rPr>
      </w:pPr>
      <w:r>
        <w:rPr>
          <w:rFonts w:hint="default" w:hAnsi="宋体" w:eastAsia="仿宋_GB2312" w:cs="Times New Roman"/>
          <w:color w:val="auto"/>
          <w:kern w:val="2"/>
          <w:sz w:val="32"/>
          <w:szCs w:val="32"/>
          <w:highlight w:val="none"/>
          <w:lang w:val="en-US" w:eastAsia="zh-CN"/>
        </w:rPr>
        <w:t>噻虫嗪</w:t>
      </w:r>
    </w:p>
    <w:p>
      <w:pPr>
        <w:spacing w:line="560" w:lineRule="exact"/>
        <w:ind w:firstLine="640" w:firstLineChars="200"/>
        <w:jc w:val="left"/>
        <w:rPr>
          <w:rFonts w:hint="default" w:ascii="仿宋" w:hAnsi="仿宋" w:eastAsia="仿宋" w:cs="仿宋"/>
          <w:sz w:val="32"/>
          <w:szCs w:val="32"/>
          <w:highlight w:val="none"/>
          <w:lang w:val="en-US" w:eastAsia="zh-CN" w:bidi="zh-CN"/>
        </w:rPr>
      </w:pPr>
      <w:r>
        <w:rPr>
          <w:rFonts w:hint="eastAsia" w:ascii="仿宋" w:hAnsi="仿宋" w:eastAsia="仿宋" w:cs="仿宋"/>
          <w:sz w:val="32"/>
          <w:szCs w:val="32"/>
          <w:highlight w:val="none"/>
          <w:lang w:val="en-US" w:eastAsia="zh-CN" w:bidi="zh-CN"/>
        </w:rPr>
        <w:t>噻虫嗪对害虫具有胃毒、触杀及内吸活性，用于叶面喷雾及土壤灌根处理。其施药后迅速被内吸，并传导到植株各部位，对刺吸式害虫如蚜虫、飞虱、叶蝉、粉虱等有良好的防效。噻虫嗪为低毒农药，一般不会引起中毒事故.噻虫嗪超标的可能原因是： 1.种植户为了追求良好的杀虫效果，超剂量使用噻虫嗪。2.种植户没有按规定的休药期进行采摘，从而导致噻虫嗪残留量超标。 3.种植土壤、水源中的噻虫嗪残留超标。</w:t>
      </w:r>
      <w:bookmarkStart w:id="2" w:name="_GoBack"/>
      <w:bookmarkEnd w:id="2"/>
    </w:p>
    <w:p>
      <w:pPr>
        <w:pStyle w:val="9"/>
        <w:numPr>
          <w:ilvl w:val="0"/>
          <w:numId w:val="3"/>
        </w:numPr>
        <w:spacing w:line="600" w:lineRule="exact"/>
        <w:ind w:firstLine="640" w:firstLineChars="200"/>
        <w:jc w:val="both"/>
        <w:rPr>
          <w:rFonts w:hint="default" w:hAnsi="宋体" w:eastAsia="仿宋_GB2312" w:cs="Times New Roman"/>
          <w:color w:val="auto"/>
          <w:kern w:val="2"/>
          <w:sz w:val="32"/>
          <w:szCs w:val="32"/>
          <w:highlight w:val="none"/>
          <w:lang w:val="en-US" w:eastAsia="zh-CN"/>
        </w:rPr>
      </w:pPr>
      <w:r>
        <w:rPr>
          <w:rFonts w:hint="default" w:hAnsi="宋体" w:eastAsia="仿宋_GB2312" w:cs="Times New Roman"/>
          <w:color w:val="auto"/>
          <w:kern w:val="2"/>
          <w:sz w:val="32"/>
          <w:szCs w:val="32"/>
          <w:highlight w:val="none"/>
          <w:lang w:val="en-US" w:eastAsia="zh-CN"/>
        </w:rPr>
        <w:t>氧乐果</w:t>
      </w:r>
    </w:p>
    <w:p>
      <w:pPr>
        <w:spacing w:line="560" w:lineRule="exact"/>
        <w:ind w:firstLine="640" w:firstLineChars="200"/>
        <w:jc w:val="left"/>
        <w:rPr>
          <w:rFonts w:hint="eastAsia" w:ascii="仿宋" w:hAnsi="仿宋" w:eastAsia="仿宋" w:cs="仿宋"/>
          <w:color w:val="000000"/>
          <w:kern w:val="2"/>
          <w:sz w:val="32"/>
          <w:szCs w:val="32"/>
          <w:lang w:val="zh-CN" w:eastAsia="zh-CN" w:bidi="ar-SA"/>
        </w:rPr>
      </w:pPr>
      <w:bookmarkStart w:id="0" w:name="_Toc14504"/>
      <w:bookmarkStart w:id="1" w:name="_Toc30283"/>
      <w:r>
        <w:rPr>
          <w:rFonts w:hint="eastAsia" w:ascii="仿宋" w:hAnsi="仿宋" w:eastAsia="仿宋" w:cs="仿宋"/>
          <w:color w:val="000000"/>
          <w:kern w:val="2"/>
          <w:sz w:val="32"/>
          <w:szCs w:val="32"/>
          <w:lang w:val="zh-CN" w:eastAsia="zh-CN" w:bidi="ar-SA"/>
        </w:rPr>
        <w:t>氧乐果属于有机磷类杀虫剂，主要用于防治吮吸式口器害虫和植物性螨。2002年我国农业部公告第194号已经停止氧乐果等产品的新增临时登记申请，并规定自2002年6月1日起，撤销氧乐果在甘蓝上的登记。我国《食品安全国家标准 食品中最大残留限量》(GB 2763-2016)规定，叶菜类蔬菜的最大残留限量为0.02mg/kg。</w:t>
      </w:r>
      <w:bookmarkEnd w:id="0"/>
      <w:bookmarkEnd w:id="1"/>
    </w:p>
    <w:p>
      <w:pPr>
        <w:pStyle w:val="9"/>
        <w:numPr>
          <w:numId w:val="0"/>
        </w:numPr>
        <w:spacing w:line="600" w:lineRule="exact"/>
        <w:jc w:val="both"/>
        <w:rPr>
          <w:rFonts w:hint="default" w:hAnsi="宋体" w:eastAsia="仿宋_GB2312" w:cs="Times New Roman"/>
          <w:color w:val="auto"/>
          <w:kern w:val="2"/>
          <w:sz w:val="32"/>
          <w:szCs w:val="32"/>
          <w:highlight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方正小标宋简体">
    <w:altName w:val="微软雅黑"/>
    <w:panose1 w:val="03000509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Gulim">
    <w:panose1 w:val="020B0600000101010101"/>
    <w:charset w:val="81"/>
    <w:family w:val="auto"/>
    <w:pitch w:val="default"/>
    <w:sig w:usb0="B00002AF" w:usb1="69D77CFB" w:usb2="00000030" w:usb3="00000000" w:csb0="4008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124040965">
    <w:nsid w:val="7E9A4B05"/>
    <w:multiLevelType w:val="singleLevel"/>
    <w:tmpl w:val="7E9A4B05"/>
    <w:lvl w:ilvl="0" w:tentative="1">
      <w:start w:val="1"/>
      <w:numFmt w:val="chineseCounting"/>
      <w:suff w:val="nothing"/>
      <w:lvlText w:val="%1、"/>
      <w:lvlJc w:val="left"/>
      <w:rPr>
        <w:rFonts w:hint="eastAsia"/>
      </w:rPr>
    </w:lvl>
  </w:abstractNum>
  <w:abstractNum w:abstractNumId="393893166">
    <w:nsid w:val="177A552E"/>
    <w:multiLevelType w:val="singleLevel"/>
    <w:tmpl w:val="177A552E"/>
    <w:lvl w:ilvl="0" w:tentative="1">
      <w:start w:val="1"/>
      <w:numFmt w:val="chineseCounting"/>
      <w:suff w:val="nothing"/>
      <w:lvlText w:val="（%1）"/>
      <w:lvlJc w:val="left"/>
      <w:rPr>
        <w:rFonts w:hint="eastAsia"/>
      </w:rPr>
    </w:lvl>
  </w:abstractNum>
  <w:abstractNum w:abstractNumId="2502811237">
    <w:nsid w:val="952DDE65"/>
    <w:multiLevelType w:val="singleLevel"/>
    <w:tmpl w:val="952DDE65"/>
    <w:lvl w:ilvl="0" w:tentative="1">
      <w:start w:val="1"/>
      <w:numFmt w:val="chineseCounting"/>
      <w:suff w:val="nothing"/>
      <w:lvlText w:val="（%1）"/>
      <w:lvlJc w:val="left"/>
      <w:rPr>
        <w:rFonts w:hint="eastAsia"/>
      </w:rPr>
    </w:lvl>
  </w:abstractNum>
  <w:num w:numId="1">
    <w:abstractNumId w:val="2124040965"/>
  </w:num>
  <w:num w:numId="2">
    <w:abstractNumId w:val="2502811237"/>
  </w:num>
  <w:num w:numId="3">
    <w:abstractNumId w:val="3938931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4B6EFA"/>
    <w:rsid w:val="004B6EFA"/>
    <w:rsid w:val="00820F31"/>
    <w:rsid w:val="00824259"/>
    <w:rsid w:val="009340FE"/>
    <w:rsid w:val="009A15EF"/>
    <w:rsid w:val="00B67A85"/>
    <w:rsid w:val="00D57D1B"/>
    <w:rsid w:val="00F421C8"/>
    <w:rsid w:val="02276CB5"/>
    <w:rsid w:val="03B054BA"/>
    <w:rsid w:val="03F06EAD"/>
    <w:rsid w:val="050D6EC3"/>
    <w:rsid w:val="07243642"/>
    <w:rsid w:val="078602F3"/>
    <w:rsid w:val="090604A3"/>
    <w:rsid w:val="0A5020B4"/>
    <w:rsid w:val="0BFE7616"/>
    <w:rsid w:val="0C1667AC"/>
    <w:rsid w:val="0CEF6768"/>
    <w:rsid w:val="0D2B2324"/>
    <w:rsid w:val="0D500C64"/>
    <w:rsid w:val="0FC90073"/>
    <w:rsid w:val="104B7313"/>
    <w:rsid w:val="139C76A1"/>
    <w:rsid w:val="145F0D0D"/>
    <w:rsid w:val="14EA645D"/>
    <w:rsid w:val="156B7E6D"/>
    <w:rsid w:val="15886BAB"/>
    <w:rsid w:val="15B10424"/>
    <w:rsid w:val="15C74A14"/>
    <w:rsid w:val="16627B1C"/>
    <w:rsid w:val="17177BD8"/>
    <w:rsid w:val="177B2F13"/>
    <w:rsid w:val="17EF416E"/>
    <w:rsid w:val="18451B3F"/>
    <w:rsid w:val="195B4923"/>
    <w:rsid w:val="19FE57A3"/>
    <w:rsid w:val="1A9E3EB9"/>
    <w:rsid w:val="1BBD770F"/>
    <w:rsid w:val="1C3D34E0"/>
    <w:rsid w:val="1DF10696"/>
    <w:rsid w:val="1EFF100B"/>
    <w:rsid w:val="21CC1456"/>
    <w:rsid w:val="22550787"/>
    <w:rsid w:val="2297614E"/>
    <w:rsid w:val="25137D68"/>
    <w:rsid w:val="263C6EBE"/>
    <w:rsid w:val="284A5BF2"/>
    <w:rsid w:val="29DF02C5"/>
    <w:rsid w:val="2A277FBA"/>
    <w:rsid w:val="2B461F65"/>
    <w:rsid w:val="2C516F87"/>
    <w:rsid w:val="2C753719"/>
    <w:rsid w:val="2D231FEB"/>
    <w:rsid w:val="2D66027E"/>
    <w:rsid w:val="2FD10C3E"/>
    <w:rsid w:val="305B4673"/>
    <w:rsid w:val="30CE09BD"/>
    <w:rsid w:val="31C6061F"/>
    <w:rsid w:val="325564AA"/>
    <w:rsid w:val="32DD00BD"/>
    <w:rsid w:val="337317F3"/>
    <w:rsid w:val="36CB6C73"/>
    <w:rsid w:val="379573AA"/>
    <w:rsid w:val="386B654E"/>
    <w:rsid w:val="391352A9"/>
    <w:rsid w:val="3ADD2861"/>
    <w:rsid w:val="3AFA4815"/>
    <w:rsid w:val="3B2E39A5"/>
    <w:rsid w:val="3D297853"/>
    <w:rsid w:val="3F685579"/>
    <w:rsid w:val="3F9006D6"/>
    <w:rsid w:val="40B04F93"/>
    <w:rsid w:val="415428C2"/>
    <w:rsid w:val="423B28CA"/>
    <w:rsid w:val="428D21EB"/>
    <w:rsid w:val="4452544F"/>
    <w:rsid w:val="45D17096"/>
    <w:rsid w:val="46B032DF"/>
    <w:rsid w:val="49A67CE8"/>
    <w:rsid w:val="4B911789"/>
    <w:rsid w:val="4C766400"/>
    <w:rsid w:val="4CC14FB3"/>
    <w:rsid w:val="4D94490D"/>
    <w:rsid w:val="4DAD2FA1"/>
    <w:rsid w:val="4DDB6E2C"/>
    <w:rsid w:val="4E9C06D0"/>
    <w:rsid w:val="51C0523D"/>
    <w:rsid w:val="520E4E41"/>
    <w:rsid w:val="54B46905"/>
    <w:rsid w:val="58D27289"/>
    <w:rsid w:val="58EF2A7D"/>
    <w:rsid w:val="59450902"/>
    <w:rsid w:val="5A142254"/>
    <w:rsid w:val="5A50498B"/>
    <w:rsid w:val="5C77642F"/>
    <w:rsid w:val="5CED668D"/>
    <w:rsid w:val="5E751D15"/>
    <w:rsid w:val="5F1D6839"/>
    <w:rsid w:val="60CF2535"/>
    <w:rsid w:val="672E29D7"/>
    <w:rsid w:val="68932D56"/>
    <w:rsid w:val="68B26099"/>
    <w:rsid w:val="696F420B"/>
    <w:rsid w:val="697C6D68"/>
    <w:rsid w:val="6B4C4B7D"/>
    <w:rsid w:val="6B5F69B6"/>
    <w:rsid w:val="6EF66C78"/>
    <w:rsid w:val="6FF2151A"/>
    <w:rsid w:val="706D666D"/>
    <w:rsid w:val="71894BD7"/>
    <w:rsid w:val="726258D5"/>
    <w:rsid w:val="73B232F5"/>
    <w:rsid w:val="73CF7C0D"/>
    <w:rsid w:val="74994EC2"/>
    <w:rsid w:val="74EF7DD6"/>
    <w:rsid w:val="757B108B"/>
    <w:rsid w:val="757B7956"/>
    <w:rsid w:val="765566B2"/>
    <w:rsid w:val="77B41AFA"/>
    <w:rsid w:val="77DD7782"/>
    <w:rsid w:val="78601C0A"/>
    <w:rsid w:val="794F6A88"/>
    <w:rsid w:val="79871452"/>
    <w:rsid w:val="7B6A0503"/>
    <w:rsid w:val="7B802328"/>
    <w:rsid w:val="7BCD75A4"/>
    <w:rsid w:val="7D212BFB"/>
    <w:rsid w:val="7E294F89"/>
    <w:rsid w:val="7E3539E2"/>
    <w:rsid w:val="7F023EEF"/>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12"/>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6">
    <w:name w:val="Default Paragraph Font"/>
    <w:unhideWhenUsed/>
    <w:qFormat/>
    <w:uiPriority w:val="1"/>
  </w:style>
  <w:style w:type="table" w:default="1" w:styleId="7">
    <w:name w:val="Normal Table"/>
    <w:unhideWhenUsed/>
    <w:qFormat/>
    <w:uiPriority w:val="99"/>
    <w:tblPr>
      <w:tblStyle w:val="7"/>
      <w:tblLayout w:type="fixed"/>
      <w:tblCellMar>
        <w:top w:w="0" w:type="dxa"/>
        <w:left w:w="108" w:type="dxa"/>
        <w:bottom w:w="0" w:type="dxa"/>
        <w:right w:w="108" w:type="dxa"/>
      </w:tblCellMar>
    </w:tblPr>
    <w:tcPr>
      <w:textDirection w:val="lrTb"/>
    </w:tcPr>
  </w:style>
  <w:style w:type="paragraph" w:styleId="3">
    <w:name w:val="footer"/>
    <w:basedOn w:val="1"/>
    <w:link w:val="11"/>
    <w:unhideWhenUsed/>
    <w:qFormat/>
    <w:uiPriority w:val="99"/>
    <w:pPr>
      <w:tabs>
        <w:tab w:val="center" w:pos="4153"/>
        <w:tab w:val="right" w:pos="8306"/>
      </w:tabs>
      <w:snapToGrid w:val="0"/>
      <w:jc w:val="left"/>
    </w:pPr>
    <w:rPr>
      <w:rFonts w:ascii="Calibri" w:hAnsi="Calibri" w:eastAsia="宋体" w:cs="黑体"/>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rFonts w:ascii="Calibri" w:hAnsi="Calibri" w:eastAsia="宋体" w:cs="黑体"/>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8">
    <w:name w:val="_Style 1"/>
    <w:basedOn w:val="1"/>
    <w:qFormat/>
    <w:uiPriority w:val="34"/>
    <w:pPr>
      <w:ind w:firstLine="420" w:firstLineChars="200"/>
    </w:pPr>
  </w:style>
  <w:style w:type="paragraph" w:customStyle="1" w:styleId="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0">
    <w:name w:val="页眉 Char"/>
    <w:basedOn w:val="6"/>
    <w:link w:val="4"/>
    <w:semiHidden/>
    <w:qFormat/>
    <w:uiPriority w:val="99"/>
    <w:rPr>
      <w:sz w:val="18"/>
      <w:szCs w:val="18"/>
    </w:rPr>
  </w:style>
  <w:style w:type="character" w:customStyle="1" w:styleId="11">
    <w:name w:val="页脚 Char"/>
    <w:basedOn w:val="6"/>
    <w:link w:val="3"/>
    <w:semiHidden/>
    <w:qFormat/>
    <w:uiPriority w:val="99"/>
    <w:rPr>
      <w:sz w:val="18"/>
      <w:szCs w:val="18"/>
    </w:rPr>
  </w:style>
  <w:style w:type="character" w:customStyle="1" w:styleId="12">
    <w:name w:val="标题 3 Char"/>
    <w:basedOn w:val="6"/>
    <w:link w:val="2"/>
    <w:qFormat/>
    <w:uiPriority w:val="9"/>
    <w:rPr>
      <w:rFonts w:ascii="宋体" w:hAnsi="宋体" w:eastAsia="宋体" w:cs="宋体"/>
      <w:b/>
      <w:bCs/>
      <w:kern w:val="0"/>
      <w:sz w:val="27"/>
      <w:szCs w:val="27"/>
    </w:r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Company>
  <Pages>1</Pages>
  <Words>25</Words>
  <Characters>147</Characters>
  <Lines>1</Lines>
  <Paragraphs>1</Paragraphs>
  <TotalTime>0</TotalTime>
  <ScaleCrop>false</ScaleCrop>
  <LinksUpToDate>false</LinksUpToDate>
  <CharactersWithSpaces>0</CharactersWithSpaces>
  <Application>WPS Office 专业版_9.1.0.5026_F1E327BC-269C-435d-A152-05C5408002CA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2019-04-08T02:10:00Z</dcterms:created>
  <dc:creator>黎佩珊</dc:creator>
  <cp:lastModifiedBy>钟广沁</cp:lastModifiedBy>
  <dcterms:modified xsi:type="dcterms:W3CDTF">2021-05-19T01:47:24Z</dcterms:modified>
  <dc:title>附件3</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2052-9.1.0.5026</vt:lpwstr>
  </property>
</Properties>
</file>