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B81" w:rsidRDefault="003A1B81" w:rsidP="003A1B81">
      <w:pPr>
        <w:spacing w:line="600" w:lineRule="exact"/>
        <w:rPr>
          <w:rFonts w:ascii="Times New Roman" w:eastAsia="黑体" w:hAnsi="Times New Roman"/>
          <w:sz w:val="32"/>
          <w:szCs w:val="32"/>
        </w:rPr>
      </w:pPr>
      <w:r w:rsidRPr="003A1B81">
        <w:rPr>
          <w:rFonts w:ascii="Times New Roman" w:eastAsia="黑体" w:hAnsi="Times New Roman" w:hint="eastAsia"/>
          <w:sz w:val="32"/>
          <w:szCs w:val="32"/>
        </w:rPr>
        <w:t>附件</w:t>
      </w:r>
      <w:r w:rsidRPr="003A1B81">
        <w:rPr>
          <w:rFonts w:ascii="Times New Roman" w:eastAsia="黑体" w:hAnsi="Times New Roman" w:hint="eastAsia"/>
          <w:sz w:val="32"/>
          <w:szCs w:val="32"/>
        </w:rPr>
        <w:t>4</w:t>
      </w:r>
    </w:p>
    <w:p w:rsidR="003A1B81" w:rsidRPr="003A1B81" w:rsidRDefault="003A1B81" w:rsidP="003A1B81">
      <w:pPr>
        <w:spacing w:line="600" w:lineRule="exact"/>
        <w:rPr>
          <w:rFonts w:ascii="Times New Roman" w:eastAsia="黑体" w:hAnsi="Times New Roman"/>
          <w:sz w:val="32"/>
          <w:szCs w:val="32"/>
        </w:rPr>
      </w:pPr>
    </w:p>
    <w:p w:rsidR="006876CF" w:rsidRPr="006876CF" w:rsidRDefault="003A1B81" w:rsidP="003A1B81">
      <w:pPr>
        <w:widowControl/>
        <w:spacing w:line="600" w:lineRule="exact"/>
        <w:ind w:firstLineChars="200" w:firstLine="832"/>
        <w:jc w:val="center"/>
        <w:rPr>
          <w:rFonts w:ascii="Times New Roman" w:eastAsia="方正小标宋简体" w:hAnsi="Times New Roman" w:cs="Times New Roman"/>
          <w:spacing w:val="-12"/>
          <w:sz w:val="44"/>
          <w:szCs w:val="44"/>
        </w:rPr>
      </w:pPr>
      <w:r>
        <w:rPr>
          <w:rFonts w:ascii="Times New Roman" w:eastAsia="方正小标宋简体" w:hAnsi="Times New Roman" w:cs="Times New Roman" w:hint="eastAsia"/>
          <w:spacing w:val="-12"/>
          <w:sz w:val="44"/>
          <w:szCs w:val="44"/>
        </w:rPr>
        <w:t>部分</w:t>
      </w:r>
      <w:r w:rsidR="006876CF" w:rsidRPr="006876CF">
        <w:rPr>
          <w:rFonts w:ascii="Times New Roman" w:eastAsia="方正小标宋简体" w:hAnsi="Times New Roman" w:cs="Times New Roman"/>
          <w:spacing w:val="-12"/>
          <w:sz w:val="44"/>
          <w:szCs w:val="44"/>
        </w:rPr>
        <w:t>不合格项目解读</w:t>
      </w:r>
    </w:p>
    <w:p w:rsidR="006876CF" w:rsidRPr="006876CF" w:rsidRDefault="006876CF" w:rsidP="003A1B81">
      <w:pPr>
        <w:widowControl/>
        <w:spacing w:line="600" w:lineRule="exact"/>
        <w:ind w:firstLineChars="200" w:firstLine="832"/>
        <w:jc w:val="center"/>
        <w:rPr>
          <w:rFonts w:ascii="Times New Roman" w:eastAsia="方正小标宋简体" w:hAnsi="Times New Roman" w:cs="Times New Roman"/>
          <w:spacing w:val="-12"/>
          <w:sz w:val="44"/>
          <w:szCs w:val="44"/>
        </w:rPr>
      </w:pPr>
    </w:p>
    <w:p w:rsidR="00FD0BEC" w:rsidRPr="00E64861" w:rsidRDefault="006876CF" w:rsidP="00FD0BEC">
      <w:pPr>
        <w:spacing w:line="600" w:lineRule="exact"/>
        <w:ind w:firstLineChars="200" w:firstLine="592"/>
        <w:jc w:val="left"/>
        <w:textAlignment w:val="baseline"/>
        <w:rPr>
          <w:rFonts w:ascii="宋体" w:hAnsi="宋体"/>
          <w:spacing w:val="-12"/>
          <w:sz w:val="32"/>
          <w:szCs w:val="32"/>
        </w:rPr>
      </w:pPr>
      <w:r w:rsidRPr="006876CF">
        <w:rPr>
          <w:rFonts w:ascii="Times New Roman" w:eastAsia="黑体" w:hAnsi="Times New Roman" w:cs="Times New Roman"/>
          <w:spacing w:val="-12"/>
          <w:sz w:val="32"/>
          <w:szCs w:val="32"/>
        </w:rPr>
        <w:t>一、</w:t>
      </w:r>
      <w:r w:rsidR="00FD0BEC" w:rsidRPr="00E64861">
        <w:rPr>
          <w:rFonts w:ascii="Times New Roman" w:eastAsia="黑体" w:hAnsi="Times New Roman" w:cs="Arial"/>
          <w:bCs/>
          <w:color w:val="191919"/>
          <w:sz w:val="32"/>
          <w:szCs w:val="32"/>
          <w:shd w:val="clear" w:color="auto" w:fill="FFFFFF"/>
        </w:rPr>
        <w:t>铝的残留量</w:t>
      </w:r>
    </w:p>
    <w:p w:rsidR="00FD0BEC" w:rsidRPr="00E64861" w:rsidRDefault="00FD0BEC" w:rsidP="00FD0BEC">
      <w:pPr>
        <w:spacing w:line="600" w:lineRule="exact"/>
        <w:ind w:firstLineChars="200" w:firstLine="640"/>
        <w:rPr>
          <w:rFonts w:ascii="Times New Roman" w:eastAsia="仿宋_GB2312" w:hAnsi="Times New Roman" w:cs="Arial"/>
          <w:color w:val="191919"/>
          <w:sz w:val="32"/>
          <w:szCs w:val="32"/>
          <w:shd w:val="clear" w:color="auto" w:fill="FFFFFF"/>
        </w:rPr>
      </w:pPr>
      <w:r w:rsidRPr="00E64861">
        <w:rPr>
          <w:rFonts w:ascii="Times New Roman" w:eastAsia="仿宋_GB2312" w:hAnsi="Times New Roman" w:cs="Arial"/>
          <w:color w:val="191919"/>
          <w:sz w:val="32"/>
          <w:szCs w:val="32"/>
          <w:shd w:val="clear" w:color="auto" w:fill="FFFFFF"/>
        </w:rPr>
        <w:t>硫酸铝钾（又名钾明矾），硫酸铝铵（又名</w:t>
      </w:r>
      <w:proofErr w:type="gramStart"/>
      <w:r w:rsidRPr="00E64861">
        <w:rPr>
          <w:rFonts w:ascii="Times New Roman" w:eastAsia="仿宋_GB2312" w:hAnsi="Times New Roman" w:cs="Arial"/>
          <w:color w:val="191919"/>
          <w:sz w:val="32"/>
          <w:szCs w:val="32"/>
          <w:shd w:val="clear" w:color="auto" w:fill="FFFFFF"/>
        </w:rPr>
        <w:t>铵</w:t>
      </w:r>
      <w:proofErr w:type="gramEnd"/>
      <w:r w:rsidRPr="00E64861">
        <w:rPr>
          <w:rFonts w:ascii="Times New Roman" w:eastAsia="仿宋_GB2312" w:hAnsi="Times New Roman" w:cs="Arial"/>
          <w:color w:val="191919"/>
          <w:sz w:val="32"/>
          <w:szCs w:val="32"/>
          <w:shd w:val="clear" w:color="auto" w:fill="FFFFFF"/>
        </w:rPr>
        <w:t>明矾）是食品加工中常用的膨松剂和稳定剂，使用后</w:t>
      </w:r>
      <w:r w:rsidRPr="00E64861">
        <w:rPr>
          <w:rFonts w:ascii="Times New Roman" w:eastAsia="仿宋_GB2312" w:hAnsi="Times New Roman" w:cs="Arial" w:hint="eastAsia"/>
          <w:color w:val="191919"/>
          <w:sz w:val="32"/>
          <w:szCs w:val="32"/>
          <w:shd w:val="clear" w:color="auto" w:fill="FFFFFF"/>
        </w:rPr>
        <w:t>会</w:t>
      </w:r>
      <w:r w:rsidRPr="00E64861">
        <w:rPr>
          <w:rFonts w:ascii="Times New Roman" w:eastAsia="仿宋_GB2312" w:hAnsi="Times New Roman" w:cs="Arial"/>
          <w:color w:val="191919"/>
          <w:sz w:val="32"/>
          <w:szCs w:val="32"/>
          <w:shd w:val="clear" w:color="auto" w:fill="FFFFFF"/>
        </w:rPr>
        <w:t>产生铝残留。</w:t>
      </w:r>
    </w:p>
    <w:p w:rsidR="00FD0BEC" w:rsidRPr="00E64861" w:rsidRDefault="00FD0BEC" w:rsidP="00FD0BEC">
      <w:pPr>
        <w:spacing w:line="600" w:lineRule="exact"/>
        <w:ind w:firstLineChars="200" w:firstLine="640"/>
        <w:rPr>
          <w:rFonts w:ascii="Times New Roman" w:eastAsia="仿宋_GB2312" w:hAnsi="Times New Roman" w:cs="Arial"/>
          <w:color w:val="191919"/>
          <w:sz w:val="32"/>
          <w:szCs w:val="32"/>
          <w:shd w:val="clear" w:color="auto" w:fill="FFFFFF"/>
        </w:rPr>
      </w:pPr>
      <w:r w:rsidRPr="00E64861">
        <w:rPr>
          <w:rFonts w:ascii="Times New Roman" w:eastAsia="仿宋_GB2312" w:hAnsi="Times New Roman" w:cs="Arial"/>
          <w:color w:val="191919"/>
          <w:sz w:val="32"/>
          <w:szCs w:val="32"/>
          <w:shd w:val="clear" w:color="auto" w:fill="FFFFFF"/>
        </w:rPr>
        <w:t>《食品安全国家标准</w:t>
      </w:r>
      <w:r w:rsidRPr="00E64861">
        <w:rPr>
          <w:rFonts w:ascii="Times New Roman" w:eastAsia="仿宋_GB2312" w:hAnsi="Times New Roman" w:cs="Arial"/>
          <w:color w:val="191919"/>
          <w:sz w:val="32"/>
          <w:szCs w:val="32"/>
          <w:shd w:val="clear" w:color="auto" w:fill="FFFFFF"/>
        </w:rPr>
        <w:t xml:space="preserve"> </w:t>
      </w:r>
      <w:r w:rsidRPr="00E64861">
        <w:rPr>
          <w:rFonts w:ascii="Times New Roman" w:eastAsia="仿宋_GB2312" w:hAnsi="Times New Roman" w:cs="Arial"/>
          <w:color w:val="191919"/>
          <w:sz w:val="32"/>
          <w:szCs w:val="32"/>
          <w:shd w:val="clear" w:color="auto" w:fill="FFFFFF"/>
        </w:rPr>
        <w:t>食品添加剂使用标准》</w:t>
      </w:r>
      <w:r w:rsidRPr="00E64861">
        <w:rPr>
          <w:rFonts w:ascii="Times New Roman" w:eastAsia="仿宋_GB2312" w:hAnsi="Times New Roman" w:cs="Arial" w:hint="eastAsia"/>
          <w:color w:val="191919"/>
          <w:sz w:val="32"/>
          <w:szCs w:val="32"/>
          <w:shd w:val="clear" w:color="auto" w:fill="FFFFFF"/>
        </w:rPr>
        <w:t>（</w:t>
      </w:r>
      <w:r w:rsidRPr="00E64861">
        <w:rPr>
          <w:rFonts w:ascii="Times New Roman" w:eastAsia="仿宋_GB2312" w:hAnsi="Times New Roman" w:cs="Arial"/>
          <w:color w:val="191919"/>
          <w:sz w:val="32"/>
          <w:szCs w:val="32"/>
          <w:shd w:val="clear" w:color="auto" w:fill="FFFFFF"/>
        </w:rPr>
        <w:t>GB 2760-2014</w:t>
      </w:r>
      <w:r w:rsidRPr="00E64861">
        <w:rPr>
          <w:rFonts w:ascii="Times New Roman" w:eastAsia="仿宋_GB2312" w:hAnsi="Times New Roman" w:cs="Arial" w:hint="eastAsia"/>
          <w:color w:val="191919"/>
          <w:sz w:val="32"/>
          <w:szCs w:val="32"/>
          <w:shd w:val="clear" w:color="auto" w:fill="FFFFFF"/>
        </w:rPr>
        <w:t>）</w:t>
      </w:r>
      <w:r w:rsidRPr="00E64861">
        <w:rPr>
          <w:rFonts w:ascii="Times New Roman" w:eastAsia="仿宋_GB2312" w:hAnsi="Times New Roman" w:cs="Arial"/>
          <w:color w:val="191919"/>
          <w:sz w:val="32"/>
          <w:szCs w:val="32"/>
          <w:shd w:val="clear" w:color="auto" w:fill="FFFFFF"/>
        </w:rPr>
        <w:t>中规定，油炸面制品中铝的最大残留限量</w:t>
      </w:r>
      <w:r w:rsidRPr="00E64861">
        <w:rPr>
          <w:rFonts w:ascii="仿宋_GB2312" w:eastAsia="仿宋_GB2312" w:hAnsi="Times New Roman" w:cs="Arial" w:hint="eastAsia"/>
          <w:color w:val="191919"/>
          <w:sz w:val="32"/>
          <w:szCs w:val="32"/>
          <w:shd w:val="clear" w:color="auto" w:fill="FFFFFF"/>
        </w:rPr>
        <w:t>≤</w:t>
      </w:r>
      <w:r w:rsidRPr="00E64861">
        <w:rPr>
          <w:rFonts w:ascii="Times New Roman" w:eastAsia="仿宋_GB2312" w:hAnsi="Times New Roman" w:cs="Arial"/>
          <w:color w:val="191919"/>
          <w:sz w:val="32"/>
          <w:szCs w:val="32"/>
          <w:shd w:val="clear" w:color="auto" w:fill="FFFFFF"/>
        </w:rPr>
        <w:t>100 mg/kg</w:t>
      </w:r>
      <w:r w:rsidRPr="00E64861">
        <w:rPr>
          <w:rFonts w:ascii="Times New Roman" w:eastAsia="仿宋_GB2312" w:hAnsi="Times New Roman" w:cs="Arial"/>
          <w:color w:val="191919"/>
          <w:sz w:val="32"/>
          <w:szCs w:val="32"/>
          <w:shd w:val="clear" w:color="auto" w:fill="FFFFFF"/>
        </w:rPr>
        <w:t>。油条中铝含量超标的原因可能是大量使用含铝食品添加剂代替传统的酵母发酵，以达到加工过程快速、高效，膨松、卖相好等效果。</w:t>
      </w:r>
    </w:p>
    <w:p w:rsidR="00FD0BEC" w:rsidRDefault="00FD0BEC" w:rsidP="00FD0BEC">
      <w:pPr>
        <w:widowControl/>
        <w:spacing w:line="600" w:lineRule="exact"/>
        <w:ind w:firstLineChars="200" w:firstLine="640"/>
        <w:rPr>
          <w:rFonts w:ascii="Times New Roman" w:eastAsia="仿宋_GB2312" w:hAnsi="Times New Roman" w:cs="Arial"/>
          <w:color w:val="191919"/>
          <w:sz w:val="32"/>
          <w:szCs w:val="32"/>
          <w:shd w:val="clear" w:color="auto" w:fill="FFFFFF"/>
        </w:rPr>
      </w:pPr>
      <w:proofErr w:type="gramStart"/>
      <w:r w:rsidRPr="00E64861">
        <w:rPr>
          <w:rFonts w:ascii="Times New Roman" w:eastAsia="仿宋_GB2312" w:hAnsi="Times New Roman" w:cs="Arial"/>
          <w:color w:val="191919"/>
          <w:sz w:val="32"/>
          <w:szCs w:val="32"/>
          <w:shd w:val="clear" w:color="auto" w:fill="FFFFFF"/>
        </w:rPr>
        <w:t>铝不是</w:t>
      </w:r>
      <w:proofErr w:type="gramEnd"/>
      <w:r w:rsidRPr="00E64861">
        <w:rPr>
          <w:rFonts w:ascii="Times New Roman" w:eastAsia="仿宋_GB2312" w:hAnsi="Times New Roman" w:cs="Arial"/>
          <w:color w:val="191919"/>
          <w:sz w:val="32"/>
          <w:szCs w:val="32"/>
          <w:shd w:val="clear" w:color="auto" w:fill="FFFFFF"/>
        </w:rPr>
        <w:t>人体必需微量元素，不参与正常生理代谢，具有蓄积性，过量摄入会影响人体对铁、钙等成份的吸收，导致骨质疏松、贫血，甚至影响神经细胞的发育。</w:t>
      </w:r>
    </w:p>
    <w:p w:rsidR="009B44E4" w:rsidRPr="006876CF" w:rsidRDefault="007F0A31" w:rsidP="00FD0BEC">
      <w:pPr>
        <w:spacing w:line="600" w:lineRule="exact"/>
        <w:ind w:firstLineChars="200" w:firstLine="592"/>
        <w:rPr>
          <w:rFonts w:ascii="Times New Roman" w:eastAsia="黑体" w:hAnsi="Times New Roman" w:cs="Times New Roman"/>
          <w:spacing w:val="-12"/>
          <w:sz w:val="32"/>
          <w:szCs w:val="32"/>
        </w:rPr>
      </w:pPr>
      <w:r>
        <w:rPr>
          <w:rFonts w:ascii="Times New Roman" w:eastAsia="黑体" w:hAnsi="Times New Roman" w:cs="Times New Roman" w:hint="eastAsia"/>
          <w:spacing w:val="-12"/>
          <w:sz w:val="32"/>
          <w:szCs w:val="32"/>
        </w:rPr>
        <w:t>二</w:t>
      </w:r>
      <w:r w:rsidR="00FD0BEC" w:rsidRPr="00FD0BEC">
        <w:rPr>
          <w:rFonts w:ascii="Times New Roman" w:eastAsia="黑体" w:hAnsi="Times New Roman" w:cs="Times New Roman" w:hint="eastAsia"/>
          <w:spacing w:val="-12"/>
          <w:sz w:val="32"/>
          <w:szCs w:val="32"/>
        </w:rPr>
        <w:t>、</w:t>
      </w:r>
      <w:r w:rsidR="009B44E4" w:rsidRPr="006876CF">
        <w:rPr>
          <w:rFonts w:ascii="Times New Roman" w:eastAsia="黑体" w:hAnsi="Times New Roman" w:cs="Times New Roman"/>
          <w:spacing w:val="-12"/>
          <w:sz w:val="32"/>
          <w:szCs w:val="32"/>
        </w:rPr>
        <w:t>4-</w:t>
      </w:r>
      <w:r w:rsidR="009B44E4" w:rsidRPr="006876CF">
        <w:rPr>
          <w:rFonts w:ascii="Times New Roman" w:eastAsia="黑体" w:hAnsi="Times New Roman" w:cs="Times New Roman"/>
          <w:spacing w:val="-12"/>
          <w:sz w:val="32"/>
          <w:szCs w:val="32"/>
        </w:rPr>
        <w:t>氯苯氧乙酸钠</w:t>
      </w:r>
    </w:p>
    <w:p w:rsidR="009B44E4" w:rsidRPr="006876CF" w:rsidRDefault="009B44E4" w:rsidP="003A1B81">
      <w:pPr>
        <w:widowControl/>
        <w:spacing w:line="600" w:lineRule="exact"/>
        <w:ind w:firstLineChars="200" w:firstLine="640"/>
        <w:rPr>
          <w:rFonts w:ascii="Times New Roman" w:eastAsia="仿宋_GB2312" w:hAnsi="Times New Roman" w:cs="Times New Roman"/>
          <w:sz w:val="32"/>
          <w:szCs w:val="32"/>
        </w:rPr>
      </w:pP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氯苯氧乙酸钠，又名</w:t>
      </w:r>
      <w:proofErr w:type="gramStart"/>
      <w:r w:rsidRPr="006876CF">
        <w:rPr>
          <w:rFonts w:ascii="Times New Roman" w:eastAsia="仿宋_GB2312" w:hAnsi="Times New Roman" w:cs="Times New Roman"/>
          <w:sz w:val="32"/>
          <w:szCs w:val="32"/>
        </w:rPr>
        <w:t>防落素</w:t>
      </w:r>
      <w:proofErr w:type="gramEnd"/>
      <w:r w:rsidRPr="006876CF">
        <w:rPr>
          <w:rFonts w:ascii="Times New Roman" w:eastAsia="仿宋_GB2312" w:hAnsi="Times New Roman" w:cs="Times New Roman"/>
          <w:sz w:val="32"/>
          <w:szCs w:val="32"/>
        </w:rPr>
        <w:t>，是一种较为广谱的植物生长调节剂，酸化后以</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氯苯氧乙酸存在。</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氯苯氧乙酸钠在豆芽生产中可以促进豆芽下胚轴粗大，减少根部萌发，加速细胞分裂，使豆芽更加肥嫩、粗壮，提高豆芽的产量。</w:t>
      </w:r>
    </w:p>
    <w:p w:rsidR="003521E2" w:rsidRPr="006876CF" w:rsidRDefault="003521E2" w:rsidP="003A1B81">
      <w:pPr>
        <w:spacing w:line="600" w:lineRule="exact"/>
        <w:ind w:firstLineChars="200" w:firstLine="640"/>
        <w:rPr>
          <w:rFonts w:ascii="Times New Roman" w:eastAsia="仿宋_GB2312" w:hAnsi="Times New Roman" w:cs="Times New Roman"/>
          <w:sz w:val="32"/>
          <w:szCs w:val="32"/>
        </w:rPr>
      </w:pPr>
      <w:r w:rsidRPr="006876CF">
        <w:rPr>
          <w:rFonts w:ascii="Times New Roman" w:eastAsia="仿宋_GB2312" w:hAnsi="Times New Roman" w:cs="Times New Roman"/>
          <w:sz w:val="32"/>
          <w:szCs w:val="32"/>
        </w:rPr>
        <w:t>相关研究表明，</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氯苯氧乙酸钠对小鼠为低毒、低蓄积性药物，其毒性效应主要表现为对小鼠肝脏和肾脏的毒性作用。此外，</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氯苯氧乙酸钠能够诱导大鼠性细胞凋亡。因此</w:t>
      </w:r>
      <w:r w:rsidRPr="006876CF">
        <w:rPr>
          <w:rFonts w:ascii="Times New Roman" w:eastAsia="仿宋_GB2312" w:hAnsi="Times New Roman" w:cs="Times New Roman"/>
          <w:sz w:val="32"/>
          <w:szCs w:val="32"/>
        </w:rPr>
        <w:lastRenderedPageBreak/>
        <w:t>4-</w:t>
      </w:r>
      <w:r w:rsidRPr="006876CF">
        <w:rPr>
          <w:rFonts w:ascii="Times New Roman" w:eastAsia="仿宋_GB2312" w:hAnsi="Times New Roman" w:cs="Times New Roman"/>
          <w:sz w:val="32"/>
          <w:szCs w:val="32"/>
        </w:rPr>
        <w:t>氯苯氧乙酸钠在人体内的残留及其对健康的危害作用不容忽视。</w:t>
      </w:r>
    </w:p>
    <w:p w:rsidR="005F735A" w:rsidRDefault="009B44E4" w:rsidP="003A1B81">
      <w:pPr>
        <w:spacing w:line="600" w:lineRule="exact"/>
        <w:ind w:firstLineChars="200" w:firstLine="640"/>
        <w:rPr>
          <w:rFonts w:ascii="Times New Roman" w:eastAsia="仿宋_GB2312" w:hAnsi="Times New Roman" w:cs="Times New Roman"/>
          <w:sz w:val="32"/>
          <w:szCs w:val="32"/>
        </w:rPr>
      </w:pPr>
      <w:r w:rsidRPr="006876CF">
        <w:rPr>
          <w:rFonts w:ascii="Times New Roman" w:eastAsia="仿宋_GB2312" w:hAnsi="Times New Roman" w:cs="Times New Roman"/>
          <w:sz w:val="32"/>
          <w:szCs w:val="32"/>
        </w:rPr>
        <w:t>2015</w:t>
      </w:r>
      <w:r w:rsidRPr="006876CF">
        <w:rPr>
          <w:rFonts w:ascii="Times New Roman" w:eastAsia="仿宋_GB2312" w:hAnsi="Times New Roman" w:cs="Times New Roman"/>
          <w:sz w:val="32"/>
          <w:szCs w:val="32"/>
        </w:rPr>
        <w:t>年，国家食品药品监督管理总局、农业部和国家卫生和计划生育委员会联合发布的《</w:t>
      </w:r>
      <w:r w:rsidRPr="006876CF">
        <w:rPr>
          <w:rFonts w:ascii="Times New Roman" w:eastAsia="仿宋_GB2312" w:hAnsi="Times New Roman" w:cs="Times New Roman"/>
          <w:sz w:val="32"/>
          <w:szCs w:val="32"/>
        </w:rPr>
        <w:t>2015</w:t>
      </w:r>
      <w:r w:rsidRPr="006876CF">
        <w:rPr>
          <w:rFonts w:ascii="Times New Roman" w:eastAsia="仿宋_GB2312" w:hAnsi="Times New Roman" w:cs="Times New Roman"/>
          <w:sz w:val="32"/>
          <w:szCs w:val="32"/>
        </w:rPr>
        <w:t>年第</w:t>
      </w:r>
      <w:r w:rsidRPr="006876CF">
        <w:rPr>
          <w:rFonts w:ascii="Times New Roman" w:eastAsia="仿宋_GB2312" w:hAnsi="Times New Roman" w:cs="Times New Roman"/>
          <w:sz w:val="32"/>
          <w:szCs w:val="32"/>
        </w:rPr>
        <w:t>11</w:t>
      </w:r>
      <w:r w:rsidRPr="006876CF">
        <w:rPr>
          <w:rFonts w:ascii="Times New Roman" w:eastAsia="仿宋_GB2312" w:hAnsi="Times New Roman" w:cs="Times New Roman"/>
          <w:sz w:val="32"/>
          <w:szCs w:val="32"/>
        </w:rPr>
        <w:t>号公告》规定，</w:t>
      </w:r>
      <w:r w:rsidRPr="006876CF">
        <w:rPr>
          <w:rFonts w:ascii="Times New Roman" w:eastAsia="仿宋_GB2312" w:hAnsi="Times New Roman" w:cs="Times New Roman"/>
          <w:sz w:val="32"/>
          <w:szCs w:val="32"/>
        </w:rPr>
        <w:t>6-</w:t>
      </w:r>
      <w:r w:rsidRPr="006876CF">
        <w:rPr>
          <w:rFonts w:ascii="Times New Roman" w:eastAsia="仿宋_GB2312" w:hAnsi="Times New Roman" w:cs="Times New Roman"/>
          <w:sz w:val="32"/>
          <w:szCs w:val="32"/>
        </w:rPr>
        <w:t>苄基腺嘌呤、</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氯苯氧乙酸钠、赤霉素等物质作为低毒农药登记管理并限定了使用范围，豆芽生产不在可使用范围之列。生产者不得在豆芽生产过程中使用</w:t>
      </w:r>
      <w:r w:rsidRPr="006876CF">
        <w:rPr>
          <w:rFonts w:ascii="Times New Roman" w:eastAsia="仿宋_GB2312" w:hAnsi="Times New Roman" w:cs="Times New Roman"/>
          <w:sz w:val="32"/>
          <w:szCs w:val="32"/>
        </w:rPr>
        <w:t xml:space="preserve"> 6-</w:t>
      </w:r>
      <w:r w:rsidRPr="006876CF">
        <w:rPr>
          <w:rFonts w:ascii="Times New Roman" w:eastAsia="仿宋_GB2312" w:hAnsi="Times New Roman" w:cs="Times New Roman"/>
          <w:sz w:val="32"/>
          <w:szCs w:val="32"/>
        </w:rPr>
        <w:t>苄基腺嘌呤、</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氯苯氧乙酸钠、赤霉素等物质，豆芽经营者不得经营含有</w:t>
      </w:r>
      <w:r w:rsidRPr="006876CF">
        <w:rPr>
          <w:rFonts w:ascii="Times New Roman" w:eastAsia="仿宋_GB2312" w:hAnsi="Times New Roman" w:cs="Times New Roman"/>
          <w:sz w:val="32"/>
          <w:szCs w:val="32"/>
        </w:rPr>
        <w:t>6-</w:t>
      </w:r>
      <w:r w:rsidRPr="006876CF">
        <w:rPr>
          <w:rFonts w:ascii="Times New Roman" w:eastAsia="仿宋_GB2312" w:hAnsi="Times New Roman" w:cs="Times New Roman"/>
          <w:sz w:val="32"/>
          <w:szCs w:val="32"/>
        </w:rPr>
        <w:t>苄基腺嘌呤、</w:t>
      </w:r>
      <w:r w:rsidRPr="006876CF">
        <w:rPr>
          <w:rFonts w:ascii="Times New Roman" w:eastAsia="仿宋_GB2312" w:hAnsi="Times New Roman" w:cs="Times New Roman"/>
          <w:sz w:val="32"/>
          <w:szCs w:val="32"/>
        </w:rPr>
        <w:t>4-</w:t>
      </w:r>
      <w:r w:rsidRPr="006876CF">
        <w:rPr>
          <w:rFonts w:ascii="Times New Roman" w:eastAsia="仿宋_GB2312" w:hAnsi="Times New Roman" w:cs="Times New Roman"/>
          <w:sz w:val="32"/>
          <w:szCs w:val="32"/>
        </w:rPr>
        <w:t>氯苯氧乙酸钠、赤霉素等物质的豆芽。</w:t>
      </w:r>
    </w:p>
    <w:p w:rsidR="00FC0096" w:rsidRPr="00B478B6" w:rsidRDefault="007F0A31" w:rsidP="00FC0096">
      <w:pPr>
        <w:spacing w:line="560" w:lineRule="exact"/>
        <w:ind w:firstLineChars="200" w:firstLine="640"/>
        <w:rPr>
          <w:rFonts w:ascii="Times New Roman" w:eastAsia="黑体" w:hAnsi="Times New Roman" w:cs="Times New Roman"/>
          <w:color w:val="191919"/>
          <w:sz w:val="32"/>
          <w:szCs w:val="32"/>
          <w:shd w:val="clear" w:color="auto" w:fill="FFFFFF"/>
        </w:rPr>
      </w:pPr>
      <w:r>
        <w:rPr>
          <w:rFonts w:ascii="Times New Roman" w:eastAsia="黑体" w:hAnsi="Times New Roman" w:cs="Times New Roman" w:hint="eastAsia"/>
          <w:color w:val="191919"/>
          <w:sz w:val="32"/>
          <w:szCs w:val="32"/>
          <w:shd w:val="clear" w:color="auto" w:fill="FFFFFF"/>
        </w:rPr>
        <w:t>三</w:t>
      </w:r>
      <w:bookmarkStart w:id="0" w:name="_GoBack"/>
      <w:bookmarkEnd w:id="0"/>
      <w:r w:rsidR="00FC0096" w:rsidRPr="00FC0096">
        <w:rPr>
          <w:rFonts w:ascii="Times New Roman" w:eastAsia="黑体" w:hAnsi="Times New Roman" w:cs="Times New Roman" w:hint="eastAsia"/>
          <w:color w:val="191919"/>
          <w:sz w:val="32"/>
          <w:szCs w:val="32"/>
          <w:shd w:val="clear" w:color="auto" w:fill="FFFFFF"/>
        </w:rPr>
        <w:t>、</w:t>
      </w:r>
      <w:r w:rsidR="00FC0096" w:rsidRPr="00B478B6">
        <w:rPr>
          <w:rFonts w:ascii="Times New Roman" w:eastAsia="黑体" w:hAnsi="Times New Roman" w:cs="Times New Roman"/>
          <w:color w:val="191919"/>
          <w:sz w:val="32"/>
          <w:szCs w:val="32"/>
          <w:shd w:val="clear" w:color="auto" w:fill="FFFFFF"/>
        </w:rPr>
        <w:t>大肠菌群</w:t>
      </w:r>
    </w:p>
    <w:p w:rsidR="00FC0096" w:rsidRPr="00FC0096" w:rsidRDefault="00FC0096" w:rsidP="00FC0096">
      <w:pPr>
        <w:spacing w:line="600" w:lineRule="exact"/>
        <w:ind w:firstLineChars="200" w:firstLine="640"/>
        <w:rPr>
          <w:rFonts w:ascii="Times New Roman" w:eastAsia="仿宋_GB2312" w:hAnsi="Times New Roman" w:cs="Times New Roman"/>
          <w:sz w:val="32"/>
          <w:szCs w:val="32"/>
        </w:rPr>
      </w:pPr>
      <w:r w:rsidRPr="00B478B6">
        <w:rPr>
          <w:rFonts w:ascii="Times New Roman" w:eastAsia="仿宋_GB2312" w:hAnsi="Times New Roman" w:cs="Times New Roman"/>
          <w:sz w:val="32"/>
          <w:szCs w:val="32"/>
        </w:rPr>
        <w:t>大肠菌群是国内外通用的食品污染常用指示菌之一。食品中检出大肠菌群，提示被致病菌（如沙门氏菌、志贺氏菌、致病性大肠杆菌）污染的可能性较大。</w:t>
      </w:r>
      <w:r w:rsidRPr="00B478B6">
        <w:rPr>
          <w:rFonts w:ascii="Times New Roman" w:eastAsia="仿宋_GB2312" w:hAnsi="Times New Roman" w:cs="Times New Roman"/>
          <w:sz w:val="32"/>
          <w:szCs w:val="32"/>
        </w:rPr>
        <w:t>GB14934-2016</w:t>
      </w:r>
      <w:r w:rsidRPr="00B478B6">
        <w:rPr>
          <w:rFonts w:ascii="Times New Roman" w:eastAsia="仿宋_GB2312" w:hAnsi="Times New Roman" w:cs="Times New Roman"/>
          <w:sz w:val="32"/>
          <w:szCs w:val="32"/>
        </w:rPr>
        <w:t>《食品安全国家标准消毒餐（饮）具》规定，大肠菌群在消毒餐（饮）具中为不得检出。分析复用餐饮具中检出大肠菌群的原因，可能是人员卫生、工器具等生产设备或环境的污染、消毒餐饮具用消毒液未达到规定浓度，或者餐饮具干热消毒时未达到规定温度，或者是消毒时间未达到规定要求所致。使用大肠菌群超标的餐饮具，容易使人腹泻，特别是学校食堂等集中用餐点，易引起食源性疾病。</w:t>
      </w:r>
    </w:p>
    <w:sectPr w:rsidR="00FC0096" w:rsidRPr="00FC0096" w:rsidSect="00444E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9F7" w:rsidRDefault="00B669F7" w:rsidP="003A1B81">
      <w:r>
        <w:separator/>
      </w:r>
    </w:p>
  </w:endnote>
  <w:endnote w:type="continuationSeparator" w:id="0">
    <w:p w:rsidR="00B669F7" w:rsidRDefault="00B669F7" w:rsidP="003A1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9F7" w:rsidRDefault="00B669F7" w:rsidP="003A1B81">
      <w:r>
        <w:separator/>
      </w:r>
    </w:p>
  </w:footnote>
  <w:footnote w:type="continuationSeparator" w:id="0">
    <w:p w:rsidR="00B669F7" w:rsidRDefault="00B669F7" w:rsidP="003A1B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4E4"/>
    <w:rsid w:val="000006A6"/>
    <w:rsid w:val="000E2400"/>
    <w:rsid w:val="001B2D32"/>
    <w:rsid w:val="003521E2"/>
    <w:rsid w:val="003A1B81"/>
    <w:rsid w:val="00444EDE"/>
    <w:rsid w:val="006614E1"/>
    <w:rsid w:val="006876CF"/>
    <w:rsid w:val="00775450"/>
    <w:rsid w:val="007F0A31"/>
    <w:rsid w:val="00986777"/>
    <w:rsid w:val="009B44E4"/>
    <w:rsid w:val="00B669F7"/>
    <w:rsid w:val="00CC4F2D"/>
    <w:rsid w:val="00DB0C72"/>
    <w:rsid w:val="00ED3202"/>
    <w:rsid w:val="00FC0096"/>
    <w:rsid w:val="00FD0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1B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1B81"/>
    <w:rPr>
      <w:sz w:val="18"/>
      <w:szCs w:val="18"/>
    </w:rPr>
  </w:style>
  <w:style w:type="paragraph" w:styleId="a4">
    <w:name w:val="footer"/>
    <w:basedOn w:val="a"/>
    <w:link w:val="Char0"/>
    <w:uiPriority w:val="99"/>
    <w:unhideWhenUsed/>
    <w:rsid w:val="003A1B81"/>
    <w:pPr>
      <w:tabs>
        <w:tab w:val="center" w:pos="4153"/>
        <w:tab w:val="right" w:pos="8306"/>
      </w:tabs>
      <w:snapToGrid w:val="0"/>
      <w:jc w:val="left"/>
    </w:pPr>
    <w:rPr>
      <w:sz w:val="18"/>
      <w:szCs w:val="18"/>
    </w:rPr>
  </w:style>
  <w:style w:type="character" w:customStyle="1" w:styleId="Char0">
    <w:name w:val="页脚 Char"/>
    <w:basedOn w:val="a0"/>
    <w:link w:val="a4"/>
    <w:uiPriority w:val="99"/>
    <w:rsid w:val="003A1B8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1B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1B81"/>
    <w:rPr>
      <w:sz w:val="18"/>
      <w:szCs w:val="18"/>
    </w:rPr>
  </w:style>
  <w:style w:type="paragraph" w:styleId="a4">
    <w:name w:val="footer"/>
    <w:basedOn w:val="a"/>
    <w:link w:val="Char0"/>
    <w:uiPriority w:val="99"/>
    <w:unhideWhenUsed/>
    <w:rsid w:val="003A1B81"/>
    <w:pPr>
      <w:tabs>
        <w:tab w:val="center" w:pos="4153"/>
        <w:tab w:val="right" w:pos="8306"/>
      </w:tabs>
      <w:snapToGrid w:val="0"/>
      <w:jc w:val="left"/>
    </w:pPr>
    <w:rPr>
      <w:sz w:val="18"/>
      <w:szCs w:val="18"/>
    </w:rPr>
  </w:style>
  <w:style w:type="character" w:customStyle="1" w:styleId="Char0">
    <w:name w:val="页脚 Char"/>
    <w:basedOn w:val="a0"/>
    <w:link w:val="a4"/>
    <w:uiPriority w:val="99"/>
    <w:rsid w:val="003A1B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141</Words>
  <Characters>806</Characters>
  <Application>Microsoft Office Word</Application>
  <DocSecurity>0</DocSecurity>
  <Lines>6</Lines>
  <Paragraphs>1</Paragraphs>
  <ScaleCrop>false</ScaleCrop>
  <Company>微软中国</Company>
  <LinksUpToDate>false</LinksUpToDate>
  <CharactersWithSpaces>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闵宇航</dc:creator>
  <cp:lastModifiedBy>张锦霞</cp:lastModifiedBy>
  <cp:revision>5</cp:revision>
  <dcterms:created xsi:type="dcterms:W3CDTF">2020-04-15T06:57:00Z</dcterms:created>
  <dcterms:modified xsi:type="dcterms:W3CDTF">2020-11-04T07:45:00Z</dcterms:modified>
</cp:coreProperties>
</file>