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黑体" w:hAnsi="黑体" w:eastAsia="黑体" w:cs="仿宋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仿宋"/>
        </w:rPr>
        <w:t>附件</w:t>
      </w:r>
      <w:r>
        <w:rPr>
          <w:rFonts w:hint="eastAsia" w:ascii="黑体" w:hAnsi="黑体" w:eastAsia="黑体" w:cs="仿宋"/>
          <w:lang w:val="en-US" w:eastAsia="zh-CN"/>
        </w:rPr>
        <w:t>4</w:t>
      </w:r>
    </w:p>
    <w:p>
      <w:pPr>
        <w:spacing w:line="590" w:lineRule="exact"/>
        <w:rPr>
          <w:rFonts w:hint="eastAsia" w:ascii="黑体" w:hAnsi="黑体" w:eastAsia="黑体" w:cs="仿宋"/>
          <w:lang w:val="en-US" w:eastAsia="zh-CN"/>
        </w:rPr>
      </w:pPr>
    </w:p>
    <w:p>
      <w:pPr>
        <w:widowControl/>
        <w:shd w:val="clear" w:color="auto" w:fill="FFFFFF"/>
        <w:snapToGrid w:val="0"/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关于</w:t>
      </w:r>
      <w:r>
        <w:rPr>
          <w:rFonts w:hint="eastAsia" w:ascii="方正小标宋简体" w:hAnsi="仿宋" w:eastAsia="方正小标宋简体" w:cs="仿宋"/>
          <w:bCs w:val="0"/>
          <w:kern w:val="2"/>
          <w:sz w:val="44"/>
          <w:szCs w:val="44"/>
          <w:lang w:eastAsia="zh-CN"/>
        </w:rPr>
        <w:t>菌落总数</w:t>
      </w:r>
      <w:r>
        <w:rPr>
          <w:rFonts w:hint="eastAsia" w:ascii="方正小标宋简体" w:hAnsi="仿宋" w:eastAsia="方正小标宋简体" w:cs="仿宋"/>
          <w:sz w:val="44"/>
          <w:szCs w:val="44"/>
        </w:rPr>
        <w:t>检验项目的说明</w:t>
      </w:r>
    </w:p>
    <w:p>
      <w:pPr>
        <w:widowControl/>
        <w:shd w:val="clear" w:color="auto" w:fill="FFFFFF"/>
        <w:snapToGrid w:val="0"/>
        <w:spacing w:line="590" w:lineRule="exact"/>
        <w:rPr>
          <w:rFonts w:hint="eastAsia" w:ascii="仿宋" w:hAnsi="仿宋"/>
        </w:rPr>
      </w:pPr>
      <w:r>
        <w:rPr>
          <w:rFonts w:hint="eastAsia" w:ascii="仿宋" w:hAnsi="仿宋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640" w:firstLineChars="200"/>
        <w:jc w:val="both"/>
        <w:textAlignment w:val="auto"/>
        <w:outlineLvl w:val="9"/>
      </w:pPr>
      <w:r>
        <w:rPr>
          <w:rFonts w:hint="eastAsia" w:ascii="仿宋" w:hAnsi="仿宋"/>
        </w:rPr>
        <w:t>菌落总数是指示性微生物指标，并非致病菌指标，主要用来评价食品清洁度，反映食品在生产过程中是否符合卫生要求。《商业行业标准 粽子》（SB/T 10377</w:t>
      </w:r>
      <w:r>
        <w:rPr>
          <w:rFonts w:hint="eastAsia" w:ascii="仿宋" w:hAnsi="仿宋"/>
          <w:lang w:val="en-US" w:eastAsia="zh-CN"/>
        </w:rPr>
        <w:t>-</w:t>
      </w:r>
      <w:r>
        <w:rPr>
          <w:rFonts w:hint="eastAsia" w:ascii="仿宋" w:hAnsi="仿宋"/>
        </w:rPr>
        <w:t>2004）中规定新鲜类粽子的菌落总数的检测结果不允许超过50000CFU/g</w:t>
      </w:r>
      <w:r>
        <w:rPr>
          <w:rFonts w:hint="eastAsia" w:ascii="仿宋" w:hAnsi="仿宋"/>
          <w:lang w:eastAsia="zh-CN"/>
        </w:rPr>
        <w:t>，</w:t>
      </w:r>
      <w:r>
        <w:rPr>
          <w:rFonts w:hint="eastAsia" w:ascii="仿宋" w:hAnsi="仿宋"/>
        </w:rPr>
        <w:t>速冻类粽子的菌落总数的检测结果不允许超过10000CFU/g。菌落总数超标的原因为：企业对原辅料把关不严，所使用的原辅料初始菌数较高；未按要求严格控制生产加工过程的卫生条件；包装容器清洗消毒不到位；与产品包装密封不严、储运条件控制不当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FKCI1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书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E-BZ+ZFKCI1-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HT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K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FZHTJW--GB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LF-32771-0-294221330+ZLRCrb-4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HeitiStd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ZHTJW--GB1-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Y1+ZHBGhf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297+ZHBGii-64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7+ZHBGhg-8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DY3+ZHBGhf-3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9+楷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B5+CAJSymbolA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HZ+ZECJcD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zuoyeFont_math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7E1071"/>
    <w:rsid w:val="237E1071"/>
    <w:rsid w:val="26153BC5"/>
    <w:rsid w:val="5D0570A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2020-06-24T01:58:00Z</dcterms:created>
  <dc:creator>罗钰珊</dc:creator>
  <cp:lastModifiedBy>罗钰珊</cp:lastModifiedBy>
  <dcterms:modified xsi:type="dcterms:W3CDTF">2020-06-24T01:58:34Z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