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color w:val="FF0000"/>
          <w:sz w:val="32"/>
          <w:szCs w:val="32"/>
        </w:rPr>
      </w:pPr>
      <w:r>
        <w:rPr>
          <w:rFonts w:hint="eastAsia" w:ascii="黑体" w:hAnsi="黑体" w:eastAsia="黑体"/>
          <w:sz w:val="32"/>
          <w:szCs w:val="32"/>
        </w:rPr>
        <w:t>附件2</w:t>
      </w:r>
    </w:p>
    <w:p>
      <w:pPr>
        <w:rPr>
          <w:rFonts w:ascii="黑体" w:hAnsi="黑体" w:eastAsia="黑体"/>
          <w:color w:val="FF0000"/>
          <w:sz w:val="32"/>
          <w:szCs w:val="32"/>
        </w:rPr>
      </w:pPr>
    </w:p>
    <w:p>
      <w:pPr>
        <w:spacing w:before="140" w:after="140" w:line="480" w:lineRule="auto"/>
        <w:jc w:val="center"/>
        <w:rPr>
          <w:rFonts w:asciiTheme="majorEastAsia" w:hAnsiTheme="majorEastAsia" w:eastAsiaTheme="majorEastAsia" w:cstheme="majorEastAsia"/>
          <w:sz w:val="44"/>
          <w:szCs w:val="44"/>
        </w:rPr>
      </w:pPr>
      <w:r>
        <w:rPr>
          <w:rFonts w:hint="eastAsia" w:asciiTheme="majorEastAsia" w:hAnsiTheme="majorEastAsia" w:eastAsiaTheme="majorEastAsia" w:cstheme="majorEastAsia"/>
          <w:sz w:val="44"/>
          <w:szCs w:val="44"/>
        </w:rPr>
        <w:t>关于部分不合格检验项目的小知识</w:t>
      </w:r>
    </w:p>
    <w:p>
      <w:pPr>
        <w:widowControl/>
        <w:ind w:left="640" w:hanging="640" w:hangingChars="200"/>
        <w:jc w:val="left"/>
        <w:rPr>
          <w:rFonts w:ascii="黑体" w:hAnsi="黑体" w:eastAsia="黑体" w:cs="黑体"/>
          <w:kern w:val="0"/>
          <w:sz w:val="32"/>
          <w:szCs w:val="32"/>
        </w:rPr>
      </w:pPr>
    </w:p>
    <w:p>
      <w:pPr>
        <w:ind w:firstLine="640" w:firstLineChars="200"/>
        <w:rPr>
          <w:rFonts w:ascii="黑体" w:hAnsi="黑体" w:eastAsia="黑体" w:cs="黑体"/>
          <w:kern w:val="0"/>
          <w:sz w:val="32"/>
          <w:szCs w:val="32"/>
        </w:rPr>
      </w:pPr>
      <w:r>
        <w:rPr>
          <w:rFonts w:hint="eastAsia" w:ascii="黑体" w:hAnsi="黑体" w:eastAsia="黑体" w:cs="黑体"/>
          <w:kern w:val="0"/>
          <w:sz w:val="32"/>
          <w:szCs w:val="32"/>
          <w:lang w:eastAsia="zh-CN"/>
        </w:rPr>
        <w:t>一</w:t>
      </w:r>
      <w:r>
        <w:rPr>
          <w:rFonts w:hint="eastAsia" w:ascii="黑体" w:hAnsi="黑体" w:eastAsia="黑体" w:cs="黑体"/>
          <w:kern w:val="0"/>
          <w:sz w:val="32"/>
          <w:szCs w:val="32"/>
        </w:rPr>
        <w:t>、</w:t>
      </w:r>
      <w:r>
        <w:rPr>
          <w:rFonts w:hint="eastAsia" w:eastAsia="黑体"/>
          <w:sz w:val="32"/>
          <w:szCs w:val="32"/>
        </w:rPr>
        <w:t>克百威</w:t>
      </w:r>
    </w:p>
    <w:p>
      <w:pPr>
        <w:pStyle w:val="4"/>
        <w:widowControl/>
        <w:shd w:val="clear" w:color="auto" w:fill="FFFFFF"/>
        <w:spacing w:before="150" w:after="150" w:line="390" w:lineRule="atLeast"/>
        <w:ind w:firstLine="640" w:firstLineChars="200"/>
        <w:rPr>
          <w:rFonts w:ascii="仿宋" w:hAnsi="仿宋" w:eastAsia="仿宋" w:cs="仿宋"/>
          <w:sz w:val="32"/>
          <w:szCs w:val="32"/>
          <w:shd w:val="clear" w:color="auto" w:fill="FFFFFF"/>
        </w:rPr>
      </w:pPr>
      <w:r>
        <w:rPr>
          <w:rFonts w:ascii="仿宋" w:hAnsi="仿宋" w:eastAsia="仿宋" w:cs="仿宋"/>
          <w:sz w:val="32"/>
          <w:szCs w:val="32"/>
          <w:shd w:val="clear" w:color="auto" w:fill="FFFFFF"/>
        </w:rPr>
        <w:t>克百威是广谱、高效、低残留、高毒性的氨基甲酸酯类杀虫、杀螨、杀线虫剂。具有内吸、触杀、胃毒作用，并有一定的杀卵作用，持效期较长，可用于多种作物防治土壤内及地面上的300多种害虫和线虫，并有缩短作物生长期、促进作物生长发育从而有效提高作物产量的作用。GB</w:t>
      </w:r>
      <w:r>
        <w:rPr>
          <w:rFonts w:hint="eastAsia" w:ascii="仿宋" w:hAnsi="仿宋" w:eastAsia="仿宋" w:cs="仿宋"/>
          <w:sz w:val="32"/>
          <w:szCs w:val="32"/>
          <w:shd w:val="clear" w:color="auto" w:fill="FFFFFF"/>
          <w:lang w:val="en-US" w:eastAsia="zh-CN"/>
        </w:rPr>
        <w:t xml:space="preserve"> </w:t>
      </w:r>
      <w:bookmarkStart w:id="2" w:name="_GoBack"/>
      <w:bookmarkEnd w:id="2"/>
      <w:r>
        <w:rPr>
          <w:rFonts w:ascii="仿宋" w:hAnsi="仿宋" w:eastAsia="仿宋" w:cs="仿宋"/>
          <w:sz w:val="32"/>
          <w:szCs w:val="32"/>
          <w:shd w:val="clear" w:color="auto" w:fill="FFFFFF"/>
        </w:rPr>
        <w:t>2763-2016《食品安全国家标准 食品中最大残留限量》中规定豆类蔬菜中克百威的最大残留限量为0.02mg/kg。克百威含量超标可能是由于种植过程中违规使用或由环境污染而富集造成的。长期食用此类农药含量超标的蔬菜，可能对人体健康产生不良影响。</w:t>
      </w:r>
    </w:p>
    <w:p>
      <w:pPr>
        <w:ind w:firstLine="640" w:firstLineChars="200"/>
        <w:rPr>
          <w:rFonts w:ascii="黑体" w:hAnsi="黑体" w:eastAsia="黑体" w:cs="黑体"/>
          <w:kern w:val="0"/>
          <w:sz w:val="32"/>
          <w:szCs w:val="32"/>
        </w:rPr>
      </w:pPr>
      <w:r>
        <w:rPr>
          <w:rFonts w:hint="eastAsia" w:eastAsia="黑体"/>
          <w:sz w:val="32"/>
          <w:szCs w:val="32"/>
          <w:lang w:eastAsia="zh-CN"/>
        </w:rPr>
        <w:t>二、</w:t>
      </w:r>
      <w:r>
        <w:rPr>
          <w:rFonts w:hint="eastAsia" w:eastAsia="黑体"/>
          <w:sz w:val="32"/>
          <w:szCs w:val="32"/>
        </w:rPr>
        <w:t>腐霉利</w:t>
      </w:r>
    </w:p>
    <w:p>
      <w:pPr>
        <w:pStyle w:val="4"/>
        <w:widowControl/>
        <w:shd w:val="clear" w:color="auto" w:fill="FFFFFF"/>
        <w:spacing w:before="150" w:after="150" w:line="390" w:lineRule="atLeast"/>
        <w:ind w:firstLine="640" w:firstLineChars="200"/>
        <w:rPr>
          <w:rFonts w:hint="default" w:ascii="仿宋" w:hAnsi="仿宋" w:eastAsia="仿宋" w:cs="仿宋"/>
          <w:sz w:val="32"/>
          <w:szCs w:val="32"/>
          <w:shd w:val="clear" w:color="auto" w:fill="FFFFFF"/>
        </w:rPr>
      </w:pPr>
      <w:r>
        <w:rPr>
          <w:rFonts w:ascii="仿宋" w:hAnsi="仿宋" w:eastAsia="仿宋" w:cs="仿宋"/>
          <w:sz w:val="32"/>
          <w:szCs w:val="32"/>
          <w:shd w:val="clear" w:color="auto" w:fill="FFFFFF"/>
        </w:rPr>
        <w:t>腐霉利属于低毒性杀菌剂，主要是抑制菌体内甘油三酯的合成，具有保护和治疗的双重作用，常用于黄瓜、茄子、番茄、洋葱等的灰霉病，莴苣、辣椒的茎腐病，油菜菌核病的防治。GB 2763-2016《食品安全国家标准 食品中最大残留限量》中规定韭菜中腐霉利的最大残留限量为0.2mg/kg。作物种植过程中违规使用该农药或者环境污染（空气、水、土壤），是造成腐霉利含量超标的主要因素。少量的腐霉利残留不会导致急性中毒，但若长期食用腐霉利含量超标的蔬菜，可能对人体健康产生不良影响。</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32" w:beforeAutospacing="0" w:after="378" w:afterAutospacing="0"/>
        <w:ind w:left="0" w:right="0" w:firstLine="640" w:firstLineChars="200"/>
        <w:jc w:val="left"/>
        <w:rPr>
          <w:rFonts w:hint="eastAsia" w:eastAsia="黑体"/>
          <w:sz w:val="32"/>
          <w:szCs w:val="32"/>
        </w:rPr>
      </w:pPr>
      <w:r>
        <w:rPr>
          <w:rFonts w:hint="eastAsia" w:eastAsia="黑体"/>
          <w:sz w:val="32"/>
          <w:szCs w:val="32"/>
          <w:lang w:eastAsia="zh-CN"/>
        </w:rPr>
        <w:t>三、毒死蜱</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firstLineChars="200"/>
        <w:rPr>
          <w:rFonts w:hint="default" w:ascii="仿宋" w:hAnsi="仿宋" w:eastAsia="仿宋" w:cs="仿宋"/>
          <w:sz w:val="32"/>
          <w:szCs w:val="32"/>
          <w:shd w:val="clear" w:color="auto" w:fill="FFFFFF"/>
        </w:rPr>
      </w:pPr>
      <w:r>
        <w:rPr>
          <w:rFonts w:hint="eastAsia" w:ascii="仿宋" w:hAnsi="仿宋" w:eastAsia="仿宋" w:cs="仿宋"/>
          <w:i w:val="0"/>
          <w:caps w:val="0"/>
          <w:color w:val="000000" w:themeColor="text1"/>
          <w:spacing w:val="0"/>
          <w:sz w:val="32"/>
          <w:szCs w:val="32"/>
          <w:shd w:val="clear" w:fill="FFFFFF"/>
        </w:rPr>
        <w:t>毒死蜱是一种常用的杀虫剂，与常规</w:t>
      </w:r>
      <w:r>
        <w:rPr>
          <w:rFonts w:hint="eastAsia" w:ascii="仿宋" w:hAnsi="仿宋" w:eastAsia="仿宋" w:cs="仿宋"/>
          <w:i w:val="0"/>
          <w:caps w:val="0"/>
          <w:color w:val="000000" w:themeColor="text1"/>
          <w:spacing w:val="0"/>
          <w:sz w:val="32"/>
          <w:szCs w:val="32"/>
          <w:u w:val="single"/>
          <w:shd w:val="clear" w:fill="FFFFFF"/>
        </w:rPr>
        <w:fldChar w:fldCharType="begin"/>
      </w:r>
      <w:r>
        <w:rPr>
          <w:rFonts w:hint="eastAsia" w:ascii="仿宋" w:hAnsi="仿宋" w:eastAsia="仿宋" w:cs="仿宋"/>
          <w:i w:val="0"/>
          <w:caps w:val="0"/>
          <w:color w:val="000000" w:themeColor="text1"/>
          <w:spacing w:val="0"/>
          <w:sz w:val="32"/>
          <w:szCs w:val="32"/>
          <w:u w:val="single"/>
          <w:shd w:val="clear" w:fill="FFFFFF"/>
        </w:rPr>
        <w:instrText xml:space="preserve"> HYPERLINK "http://www.agrichem.cn/" \t "http://www.agrichem.cn/news/2015/12/3/_blank" </w:instrText>
      </w:r>
      <w:r>
        <w:rPr>
          <w:rFonts w:hint="eastAsia" w:ascii="仿宋" w:hAnsi="仿宋" w:eastAsia="仿宋" w:cs="仿宋"/>
          <w:i w:val="0"/>
          <w:caps w:val="0"/>
          <w:color w:val="000000" w:themeColor="text1"/>
          <w:spacing w:val="0"/>
          <w:sz w:val="32"/>
          <w:szCs w:val="32"/>
          <w:u w:val="single"/>
          <w:shd w:val="clear" w:fill="FFFFFF"/>
        </w:rPr>
        <w:fldChar w:fldCharType="separate"/>
      </w:r>
      <w:r>
        <w:rPr>
          <w:rStyle w:val="8"/>
          <w:rFonts w:hint="eastAsia" w:ascii="仿宋" w:hAnsi="仿宋" w:eastAsia="仿宋" w:cs="仿宋"/>
          <w:i w:val="0"/>
          <w:caps w:val="0"/>
          <w:color w:val="000000" w:themeColor="text1"/>
          <w:spacing w:val="0"/>
          <w:sz w:val="32"/>
          <w:szCs w:val="32"/>
          <w:u w:val="single"/>
          <w:shd w:val="clear" w:fill="FFFFFF"/>
        </w:rPr>
        <w:t>农药</w:t>
      </w:r>
      <w:r>
        <w:rPr>
          <w:rFonts w:hint="eastAsia" w:ascii="仿宋" w:hAnsi="仿宋" w:eastAsia="仿宋" w:cs="仿宋"/>
          <w:i w:val="0"/>
          <w:caps w:val="0"/>
          <w:color w:val="000000" w:themeColor="text1"/>
          <w:spacing w:val="0"/>
          <w:sz w:val="32"/>
          <w:szCs w:val="32"/>
          <w:u w:val="single"/>
          <w:shd w:val="clear" w:fill="FFFFFF"/>
        </w:rPr>
        <w:fldChar w:fldCharType="end"/>
      </w:r>
      <w:r>
        <w:rPr>
          <w:rFonts w:hint="eastAsia" w:ascii="仿宋" w:hAnsi="仿宋" w:eastAsia="仿宋" w:cs="仿宋"/>
          <w:i w:val="0"/>
          <w:caps w:val="0"/>
          <w:color w:val="000000" w:themeColor="text1"/>
          <w:spacing w:val="0"/>
          <w:sz w:val="32"/>
          <w:szCs w:val="32"/>
          <w:shd w:val="clear" w:fill="FFFFFF"/>
        </w:rPr>
        <w:t>相比毒性低，</w:t>
      </w:r>
      <w:r>
        <w:rPr>
          <w:rFonts w:hint="eastAsia" w:ascii="仿宋" w:hAnsi="仿宋" w:eastAsia="仿宋" w:cs="仿宋"/>
          <w:i w:val="0"/>
          <w:caps w:val="0"/>
          <w:color w:val="000000" w:themeColor="text1"/>
          <w:spacing w:val="0"/>
          <w:sz w:val="32"/>
          <w:szCs w:val="32"/>
          <w:shd w:val="clear" w:fill="FFFFFF"/>
          <w:lang w:eastAsia="zh-CN"/>
        </w:rPr>
        <w:t>毒死蜱</w:t>
      </w:r>
      <w:r>
        <w:rPr>
          <w:rFonts w:hint="eastAsia" w:ascii="仿宋" w:hAnsi="仿宋" w:eastAsia="仿宋" w:cs="仿宋"/>
          <w:i w:val="0"/>
          <w:caps w:val="0"/>
          <w:color w:val="000000" w:themeColor="text1"/>
          <w:spacing w:val="0"/>
          <w:sz w:val="32"/>
          <w:szCs w:val="32"/>
          <w:shd w:val="clear" w:fill="FFFFFF"/>
        </w:rPr>
        <w:t>功效： ⒈ 具有胃毒、触杀、熏蒸三重作用，对水稻</w:t>
      </w:r>
      <w:r>
        <w:rPr>
          <w:rFonts w:hint="eastAsia" w:ascii="仿宋" w:hAnsi="仿宋" w:eastAsia="仿宋" w:cs="仿宋"/>
          <w:i w:val="0"/>
          <w:caps w:val="0"/>
          <w:color w:val="000000" w:themeColor="text1"/>
          <w:spacing w:val="0"/>
          <w:sz w:val="32"/>
          <w:szCs w:val="32"/>
          <w:shd w:val="clear" w:fill="FFFFFF"/>
          <w:lang w:eastAsia="zh-CN"/>
        </w:rPr>
        <w:t>、棉花</w:t>
      </w:r>
      <w:r>
        <w:rPr>
          <w:rFonts w:hint="eastAsia" w:ascii="仿宋" w:hAnsi="仿宋" w:eastAsia="仿宋" w:cs="仿宋"/>
          <w:i w:val="0"/>
          <w:caps w:val="0"/>
          <w:color w:val="000000" w:themeColor="text1"/>
          <w:spacing w:val="0"/>
          <w:sz w:val="32"/>
          <w:szCs w:val="32"/>
          <w:shd w:val="clear" w:fill="FFFFFF"/>
        </w:rPr>
        <w:t>、果树、蔬菜、茶树上多种咀嚼式和刺吸式口器害虫均具有较好防效。 ⒉ 混用相容性好，可与多种杀虫剂混用且增效作用明显(如毒死蜱与三唑磷混用)。 ⒊ 与常规农药相比毒性低，对天敌安全，是替代高毒有机磷农药(如1605、甲胺磷、氧乐果等)的首选药剂。 ⒋ 杀虫谱广，易于土壤中的有机质结合，对地下害虫特效，持效期长达30天以上。 ⒌ 无内吸作用，保障农产品、消费者的安全，适用于无公害优质农产品的生产。 </w:t>
      </w:r>
    </w:p>
    <w:p>
      <w:pPr>
        <w:ind w:firstLine="640" w:firstLineChars="200"/>
        <w:rPr>
          <w:rFonts w:ascii="黑体" w:hAnsi="黑体" w:eastAsia="黑体" w:cs="黑体"/>
          <w:kern w:val="0"/>
          <w:sz w:val="32"/>
          <w:szCs w:val="32"/>
        </w:rPr>
      </w:pPr>
      <w:r>
        <w:rPr>
          <w:rFonts w:hint="eastAsia" w:ascii="黑体" w:hAnsi="黑体" w:eastAsia="黑体" w:cs="黑体"/>
          <w:kern w:val="0"/>
          <w:sz w:val="32"/>
          <w:szCs w:val="32"/>
          <w:lang w:eastAsia="zh-CN"/>
        </w:rPr>
        <w:t>四</w:t>
      </w:r>
      <w:r>
        <w:rPr>
          <w:rFonts w:ascii="黑体" w:hAnsi="黑体" w:eastAsia="黑体" w:cs="黑体"/>
          <w:kern w:val="0"/>
          <w:sz w:val="32"/>
          <w:szCs w:val="32"/>
        </w:rPr>
        <w:t>、恩诺沙星(以恩诺沙星与环丙沙星之和计)</w:t>
      </w:r>
    </w:p>
    <w:p>
      <w:pPr>
        <w:pStyle w:val="4"/>
        <w:shd w:val="clear" w:color="auto" w:fill="FFFFFF"/>
        <w:spacing w:before="150" w:after="150" w:line="435" w:lineRule="atLeast"/>
        <w:ind w:firstLine="640" w:firstLineChars="200"/>
        <w:rPr>
          <w:rFonts w:ascii="仿宋" w:hAnsi="仿宋" w:eastAsia="仿宋" w:cs="仿宋"/>
          <w:sz w:val="32"/>
          <w:szCs w:val="32"/>
        </w:rPr>
      </w:pPr>
      <w:r>
        <w:rPr>
          <w:rFonts w:ascii="仿宋" w:hAnsi="仿宋" w:eastAsia="仿宋" w:cs="仿宋"/>
          <w:sz w:val="32"/>
          <w:szCs w:val="32"/>
        </w:rPr>
        <w:t>恩诺沙星为合成的第三代喹诺酮类抗菌药物，又名乙基环丙沙星，1996年10月4日获FDA 批准，为畜禽和水产专用喹诺酮类抗菌药物。具有广谱抗菌活性、具有很强的渗透性，其代谢产物为环丙沙星，仍有强大抗菌作用，几乎对水生动物所有病原菌的抗菌活性均较强。恩诺沙星可作为动物用药品，曾被使用于养殖鱼类弧菌症及大肠杆菌症疾病的控制。</w:t>
      </w:r>
      <w:bookmarkStart w:id="0" w:name="OLE_LINK9"/>
      <w:bookmarkStart w:id="1" w:name="OLE_LINK10"/>
      <w:r>
        <w:rPr>
          <w:rFonts w:ascii="仿宋" w:hAnsi="仿宋" w:eastAsia="仿宋" w:cs="仿宋_GB2312"/>
          <w:sz w:val="32"/>
          <w:szCs w:val="32"/>
        </w:rPr>
        <w:t>农业部公告第235号《动物性食品中兽药最高残留限量》</w:t>
      </w:r>
      <w:r>
        <w:rPr>
          <w:rFonts w:ascii="仿宋" w:hAnsi="仿宋" w:eastAsia="仿宋" w:cs="仿宋"/>
          <w:sz w:val="32"/>
          <w:szCs w:val="32"/>
        </w:rPr>
        <w:t>中规定</w:t>
      </w:r>
      <w:bookmarkEnd w:id="0"/>
      <w:bookmarkEnd w:id="1"/>
      <w:r>
        <w:rPr>
          <w:rFonts w:ascii="仿宋" w:hAnsi="仿宋" w:eastAsia="仿宋" w:cs="仿宋"/>
          <w:sz w:val="32"/>
          <w:szCs w:val="32"/>
        </w:rPr>
        <w:t>水产品中恩诺沙星(以恩诺沙星与环丙沙星之和计)最大残留限量为100μg/kg。恩诺沙星超标可能是由于</w:t>
      </w:r>
      <w:r>
        <w:rPr>
          <w:rFonts w:ascii="仿宋" w:hAnsi="仿宋" w:eastAsia="仿宋" w:cs="仿宋"/>
          <w:sz w:val="32"/>
          <w:szCs w:val="32"/>
          <w:shd w:val="clear" w:color="auto" w:fill="FFFFFF"/>
        </w:rPr>
        <w:t>水产养殖过程中违规使用该药物，是造成腐霉利含量超标的主要因素</w:t>
      </w:r>
      <w:r>
        <w:rPr>
          <w:rFonts w:ascii="仿宋" w:hAnsi="仿宋" w:eastAsia="仿宋" w:cs="仿宋"/>
          <w:sz w:val="32"/>
          <w:szCs w:val="32"/>
        </w:rPr>
        <w:t>恩诺沙星含量超标长期食用含较低浓度恩诺沙星药物的动物性食品，这类抗生素就在人体内残留蓄积，造成人体疾病对该药物的严重耐药性，影响人体疾病的治疗。</w:t>
      </w:r>
    </w:p>
    <w:p>
      <w:pPr>
        <w:ind w:firstLine="640" w:firstLineChars="200"/>
        <w:rPr>
          <w:rFonts w:ascii="黑体" w:hAnsi="黑体" w:eastAsia="黑体" w:cs="黑体"/>
          <w:kern w:val="0"/>
          <w:sz w:val="32"/>
          <w:szCs w:val="32"/>
        </w:rPr>
      </w:pPr>
      <w:r>
        <w:rPr>
          <w:rFonts w:hint="eastAsia" w:ascii="黑体" w:hAnsi="黑体" w:eastAsia="黑体" w:cs="黑体"/>
          <w:kern w:val="0"/>
          <w:sz w:val="32"/>
          <w:szCs w:val="32"/>
          <w:lang w:eastAsia="zh-CN"/>
        </w:rPr>
        <w:t>五</w:t>
      </w:r>
      <w:r>
        <w:rPr>
          <w:rFonts w:hint="eastAsia" w:ascii="黑体" w:hAnsi="黑体" w:eastAsia="黑体" w:cs="黑体"/>
          <w:kern w:val="0"/>
          <w:sz w:val="32"/>
          <w:szCs w:val="32"/>
        </w:rPr>
        <w:t>、</w:t>
      </w:r>
      <w:r>
        <w:rPr>
          <w:rFonts w:hint="eastAsia" w:eastAsia="黑体"/>
          <w:sz w:val="32"/>
          <w:szCs w:val="32"/>
        </w:rPr>
        <w:t>镉（以Cd计）</w:t>
      </w:r>
    </w:p>
    <w:p>
      <w:pPr>
        <w:pStyle w:val="4"/>
        <w:widowControl/>
        <w:shd w:val="clear" w:color="auto" w:fill="FFFFFF"/>
        <w:spacing w:before="150" w:after="150" w:line="390" w:lineRule="atLeast"/>
        <w:ind w:firstLine="640" w:firstLineChars="200"/>
        <w:rPr>
          <w:rFonts w:ascii="仿宋" w:hAnsi="仿宋" w:eastAsia="仿宋" w:cs="仿宋"/>
          <w:sz w:val="32"/>
          <w:szCs w:val="32"/>
        </w:rPr>
      </w:pPr>
      <w:r>
        <w:rPr>
          <w:rFonts w:ascii="仿宋" w:hAnsi="仿宋" w:eastAsia="仿宋" w:cs="仿宋"/>
          <w:sz w:val="32"/>
          <w:szCs w:val="32"/>
          <w:shd w:val="clear" w:color="auto" w:fill="FFFFFF"/>
        </w:rPr>
        <w:t>镉是人体非</w:t>
      </w:r>
      <w:r>
        <w:fldChar w:fldCharType="begin"/>
      </w:r>
      <w:r>
        <w:instrText xml:space="preserve"> HYPERLINK "https://baike.baidu.com/item/%E5%BF%85%E9%9C%80%E5%85%83%E7%B4%A0" \t "https://baike.baidu.com/item/%E9%95%89%E6%B1%A1%E6%9F%93/_blank" </w:instrText>
      </w:r>
      <w:r>
        <w:fldChar w:fldCharType="separate"/>
      </w:r>
      <w:r>
        <w:rPr>
          <w:rStyle w:val="8"/>
          <w:rFonts w:ascii="仿宋" w:hAnsi="仿宋" w:eastAsia="仿宋" w:cs="仿宋"/>
          <w:color w:val="auto"/>
          <w:sz w:val="32"/>
          <w:szCs w:val="32"/>
          <w:u w:val="none"/>
          <w:shd w:val="clear" w:color="auto" w:fill="FFFFFF"/>
        </w:rPr>
        <w:t>必需元素</w:t>
      </w:r>
      <w:r>
        <w:rPr>
          <w:rStyle w:val="8"/>
          <w:rFonts w:ascii="仿宋" w:hAnsi="仿宋" w:eastAsia="仿宋" w:cs="仿宋"/>
          <w:color w:val="auto"/>
          <w:sz w:val="32"/>
          <w:szCs w:val="32"/>
          <w:u w:val="none"/>
          <w:shd w:val="clear" w:color="auto" w:fill="FFFFFF"/>
        </w:rPr>
        <w:fldChar w:fldCharType="end"/>
      </w:r>
      <w:r>
        <w:rPr>
          <w:rFonts w:ascii="仿宋" w:hAnsi="仿宋" w:eastAsia="仿宋" w:cs="仿宋"/>
          <w:sz w:val="32"/>
          <w:szCs w:val="32"/>
          <w:shd w:val="clear" w:color="auto" w:fill="FFFFFF"/>
        </w:rPr>
        <w:t>，一般在自然界中含量很低，正常环境状态下，不会影响人体健康。当环境受到镉污染后，镉可在生物体内富集，通过食物链进入人体引起慢性中毒。</w:t>
      </w:r>
      <w:r>
        <w:rPr>
          <w:rFonts w:ascii="仿宋" w:hAnsi="仿宋" w:eastAsia="仿宋" w:cs="仿宋"/>
          <w:sz w:val="32"/>
          <w:szCs w:val="32"/>
        </w:rPr>
        <w:t>GB 2762-2017《食品安全国家标准 食品中污染物限量》中规定鲜、冻水产动物中甲壳类</w:t>
      </w:r>
      <w:r>
        <w:rPr>
          <w:rFonts w:ascii="仿宋" w:hAnsi="仿宋" w:eastAsia="仿宋" w:cs="仿宋"/>
          <w:sz w:val="32"/>
          <w:szCs w:val="32"/>
          <w:shd w:val="clear" w:color="auto" w:fill="FFFFFF"/>
        </w:rPr>
        <w:t>镉</w:t>
      </w:r>
      <w:r>
        <w:rPr>
          <w:rFonts w:ascii="仿宋" w:hAnsi="仿宋" w:eastAsia="仿宋" w:cs="仿宋"/>
          <w:sz w:val="32"/>
          <w:szCs w:val="32"/>
        </w:rPr>
        <w:t>（以Cd计）的限量不得超过0.5mg/kg,双壳类、腹足类、头足类、棘皮类</w:t>
      </w:r>
      <w:r>
        <w:rPr>
          <w:rFonts w:ascii="仿宋" w:hAnsi="仿宋" w:eastAsia="仿宋" w:cs="仿宋"/>
          <w:sz w:val="32"/>
          <w:szCs w:val="32"/>
          <w:shd w:val="clear" w:color="auto" w:fill="FFFFFF"/>
        </w:rPr>
        <w:t>镉</w:t>
      </w:r>
      <w:r>
        <w:rPr>
          <w:rFonts w:ascii="仿宋" w:hAnsi="仿宋" w:eastAsia="仿宋" w:cs="仿宋"/>
          <w:sz w:val="32"/>
          <w:szCs w:val="32"/>
        </w:rPr>
        <w:t>（以Cd计）的限量不得超过2.0mg/kg。</w:t>
      </w:r>
      <w:r>
        <w:rPr>
          <w:rFonts w:ascii="仿宋" w:hAnsi="仿宋" w:eastAsia="仿宋" w:cs="仿宋"/>
          <w:sz w:val="32"/>
          <w:szCs w:val="32"/>
          <w:shd w:val="clear" w:color="auto" w:fill="FFFFFF"/>
        </w:rPr>
        <w:t>镉</w:t>
      </w:r>
      <w:r>
        <w:rPr>
          <w:rFonts w:ascii="仿宋" w:hAnsi="仿宋" w:eastAsia="仿宋" w:cs="仿宋"/>
          <w:sz w:val="32"/>
          <w:szCs w:val="32"/>
        </w:rPr>
        <w:t>含量</w:t>
      </w:r>
      <w:r>
        <w:rPr>
          <w:rFonts w:eastAsia="仿宋_GB2312"/>
          <w:sz w:val="32"/>
          <w:szCs w:val="32"/>
        </w:rPr>
        <w:t>超标可能是该水产动物的养殖环境受到了污染。</w:t>
      </w:r>
      <w:r>
        <w:rPr>
          <w:rFonts w:ascii="仿宋" w:hAnsi="仿宋" w:eastAsia="仿宋" w:cs="仿宋"/>
          <w:sz w:val="32"/>
          <w:szCs w:val="32"/>
          <w:shd w:val="clear" w:color="auto" w:fill="FFFFFF"/>
        </w:rPr>
        <w:t>若长期食用镉超标的食品，会对肝、肾功能造成不良影响，如可能导致“</w:t>
      </w:r>
      <w:r>
        <w:fldChar w:fldCharType="begin"/>
      </w:r>
      <w:r>
        <w:instrText xml:space="preserve"> HYPERLINK "https://baike.baidu.com/item/%E7%97%9B%E7%97%9B%E7%97%85" \t "https://baike.baidu.com/item/%E9%95%89%E6%B1%A1%E6%9F%93/_blank" </w:instrText>
      </w:r>
      <w:r>
        <w:fldChar w:fldCharType="separate"/>
      </w:r>
      <w:r>
        <w:rPr>
          <w:rStyle w:val="8"/>
          <w:rFonts w:ascii="仿宋" w:hAnsi="仿宋" w:eastAsia="仿宋" w:cs="仿宋"/>
          <w:color w:val="auto"/>
          <w:sz w:val="32"/>
          <w:szCs w:val="32"/>
          <w:u w:val="none"/>
          <w:shd w:val="clear" w:color="auto" w:fill="FFFFFF"/>
        </w:rPr>
        <w:t>痛痛病</w:t>
      </w:r>
      <w:r>
        <w:rPr>
          <w:rStyle w:val="8"/>
          <w:rFonts w:ascii="仿宋" w:hAnsi="仿宋" w:eastAsia="仿宋" w:cs="仿宋"/>
          <w:color w:val="auto"/>
          <w:sz w:val="32"/>
          <w:szCs w:val="32"/>
          <w:u w:val="none"/>
          <w:shd w:val="clear" w:color="auto" w:fill="FFFFFF"/>
        </w:rPr>
        <w:fldChar w:fldCharType="end"/>
      </w:r>
      <w:r>
        <w:rPr>
          <w:rFonts w:ascii="仿宋" w:hAnsi="仿宋" w:eastAsia="仿宋" w:cs="仿宋"/>
          <w:sz w:val="32"/>
          <w:szCs w:val="32"/>
          <w:shd w:val="clear" w:color="auto" w:fill="FFFFFF"/>
        </w:rPr>
        <w:t>”，即身体积聚过量的镉损坏</w:t>
      </w:r>
      <w:r>
        <w:fldChar w:fldCharType="begin"/>
      </w:r>
      <w:r>
        <w:instrText xml:space="preserve"> HYPERLINK "https://baike.baidu.com/item/%E8%82%BE%E5%B0%8F%E7%AE%A1" \t "https://baike.baidu.com/item/%E9%95%89%E6%B1%A1%E6%9F%93/_blank" </w:instrText>
      </w:r>
      <w:r>
        <w:fldChar w:fldCharType="separate"/>
      </w:r>
      <w:r>
        <w:rPr>
          <w:rStyle w:val="8"/>
          <w:rFonts w:ascii="仿宋" w:hAnsi="仿宋" w:eastAsia="仿宋" w:cs="仿宋"/>
          <w:color w:val="auto"/>
          <w:sz w:val="32"/>
          <w:szCs w:val="32"/>
          <w:u w:val="none"/>
          <w:shd w:val="clear" w:color="auto" w:fill="FFFFFF"/>
        </w:rPr>
        <w:t>肾小管</w:t>
      </w:r>
      <w:r>
        <w:rPr>
          <w:rStyle w:val="8"/>
          <w:rFonts w:ascii="仿宋" w:hAnsi="仿宋" w:eastAsia="仿宋" w:cs="仿宋"/>
          <w:color w:val="auto"/>
          <w:sz w:val="32"/>
          <w:szCs w:val="32"/>
          <w:u w:val="none"/>
          <w:shd w:val="clear" w:color="auto" w:fill="FFFFFF"/>
        </w:rPr>
        <w:fldChar w:fldCharType="end"/>
      </w:r>
      <w:r>
        <w:rPr>
          <w:rFonts w:ascii="仿宋" w:hAnsi="仿宋" w:eastAsia="仿宋" w:cs="仿宋"/>
          <w:sz w:val="32"/>
          <w:szCs w:val="32"/>
          <w:shd w:val="clear" w:color="auto" w:fill="FFFFFF"/>
        </w:rPr>
        <w:t>功能，造成体内蛋白质从尿中流失，久而久之形成</w:t>
      </w:r>
      <w:r>
        <w:fldChar w:fldCharType="begin"/>
      </w:r>
      <w:r>
        <w:instrText xml:space="preserve"> HYPERLINK "https://baike.baidu.com/item/%E8%BD%AF%E9%AA%A8%E7%97%87" \t "https://baike.baidu.com/item/%E9%95%89%E6%B1%A1%E6%9F%93/_blank" </w:instrText>
      </w:r>
      <w:r>
        <w:fldChar w:fldCharType="separate"/>
      </w:r>
      <w:r>
        <w:rPr>
          <w:rStyle w:val="8"/>
          <w:rFonts w:ascii="仿宋" w:hAnsi="仿宋" w:eastAsia="仿宋" w:cs="仿宋"/>
          <w:color w:val="auto"/>
          <w:sz w:val="32"/>
          <w:szCs w:val="32"/>
          <w:u w:val="none"/>
          <w:shd w:val="clear" w:color="auto" w:fill="FFFFFF"/>
        </w:rPr>
        <w:t>软骨症</w:t>
      </w:r>
      <w:r>
        <w:rPr>
          <w:rStyle w:val="8"/>
          <w:rFonts w:ascii="仿宋" w:hAnsi="仿宋" w:eastAsia="仿宋" w:cs="仿宋"/>
          <w:color w:val="auto"/>
          <w:sz w:val="32"/>
          <w:szCs w:val="32"/>
          <w:u w:val="none"/>
          <w:shd w:val="clear" w:color="auto" w:fill="FFFFFF"/>
        </w:rPr>
        <w:fldChar w:fldCharType="end"/>
      </w:r>
      <w:r>
        <w:rPr>
          <w:rFonts w:ascii="仿宋" w:hAnsi="仿宋" w:eastAsia="仿宋" w:cs="仿宋"/>
          <w:sz w:val="32"/>
          <w:szCs w:val="32"/>
          <w:shd w:val="clear" w:color="auto" w:fill="FFFFFF"/>
        </w:rPr>
        <w:t>和自发性骨折。</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PingFang SC">
    <w:altName w:val="Segoe Print"/>
    <w:panose1 w:val="00000000000000000000"/>
    <w:charset w:val="00"/>
    <w:family w:val="auto"/>
    <w:pitch w:val="default"/>
    <w:sig w:usb0="00000000" w:usb1="00000000" w:usb2="00000000" w:usb3="00000000" w:csb0="00040001"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pict>
        <v:shape id="_x0000_s2050" o:spid="_x0000_s2050"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path/>
          <v:fill on="f" focussize="0,0"/>
          <v:stroke on="f" weight="0.5pt" joinstyle="miter"/>
          <v:imagedata o:title=""/>
          <o:lock v:ext="edit"/>
          <v:textbox inset="0mm,0mm,0mm,0mm" style="mso-fit-shape-to-text:t;">
            <w:txbxContent>
              <w:p>
                <w:pPr>
                  <w:pStyle w:val="2"/>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DA7E36"/>
    <w:rsid w:val="00007B3B"/>
    <w:rsid w:val="00134C4A"/>
    <w:rsid w:val="001B6D3F"/>
    <w:rsid w:val="002136F7"/>
    <w:rsid w:val="0025308C"/>
    <w:rsid w:val="002B3D70"/>
    <w:rsid w:val="002E1677"/>
    <w:rsid w:val="00337599"/>
    <w:rsid w:val="00350CC2"/>
    <w:rsid w:val="004369FF"/>
    <w:rsid w:val="00563854"/>
    <w:rsid w:val="005B6AAE"/>
    <w:rsid w:val="006474F9"/>
    <w:rsid w:val="00693C3F"/>
    <w:rsid w:val="007B39E1"/>
    <w:rsid w:val="00856B98"/>
    <w:rsid w:val="008701FA"/>
    <w:rsid w:val="00877BFB"/>
    <w:rsid w:val="009312AD"/>
    <w:rsid w:val="00A10170"/>
    <w:rsid w:val="00A24EE3"/>
    <w:rsid w:val="00A414F5"/>
    <w:rsid w:val="00A436DC"/>
    <w:rsid w:val="00A44B9B"/>
    <w:rsid w:val="00A54755"/>
    <w:rsid w:val="00A86C34"/>
    <w:rsid w:val="00B864DE"/>
    <w:rsid w:val="00BD341C"/>
    <w:rsid w:val="00C812C0"/>
    <w:rsid w:val="00D761C9"/>
    <w:rsid w:val="00D90EE9"/>
    <w:rsid w:val="00DA7E36"/>
    <w:rsid w:val="00E07297"/>
    <w:rsid w:val="00EC293D"/>
    <w:rsid w:val="00EF1189"/>
    <w:rsid w:val="028B4EFC"/>
    <w:rsid w:val="055F092C"/>
    <w:rsid w:val="05B77019"/>
    <w:rsid w:val="07057089"/>
    <w:rsid w:val="09AA0280"/>
    <w:rsid w:val="0F615AEB"/>
    <w:rsid w:val="10C8728E"/>
    <w:rsid w:val="11093E34"/>
    <w:rsid w:val="20C339B2"/>
    <w:rsid w:val="23921B40"/>
    <w:rsid w:val="247352E0"/>
    <w:rsid w:val="24C85C25"/>
    <w:rsid w:val="2D006C3A"/>
    <w:rsid w:val="39C66D6D"/>
    <w:rsid w:val="47607C54"/>
    <w:rsid w:val="4D390E49"/>
    <w:rsid w:val="4F9A3C7D"/>
    <w:rsid w:val="53791738"/>
    <w:rsid w:val="53E76EEA"/>
    <w:rsid w:val="59B573DC"/>
    <w:rsid w:val="68CE5246"/>
    <w:rsid w:val="6BDF4AC3"/>
    <w:rsid w:val="70545421"/>
    <w:rsid w:val="70E5696D"/>
    <w:rsid w:val="76856093"/>
    <w:rsid w:val="79CB5965"/>
    <w:rsid w:val="7B744E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iPriority="99"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4">
    <w:name w:val="HTML Preformatted"/>
    <w:basedOn w:val="1"/>
    <w:link w:val="9"/>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PingFang SC" w:hAnsi="PingFang SC" w:eastAsia="PingFang SC"/>
      <w:kern w:val="0"/>
      <w:sz w:val="24"/>
      <w:szCs w:val="24"/>
    </w:rPr>
  </w:style>
  <w:style w:type="paragraph" w:styleId="5">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character" w:styleId="8">
    <w:name w:val="Hyperlink"/>
    <w:basedOn w:val="7"/>
    <w:unhideWhenUsed/>
    <w:qFormat/>
    <w:uiPriority w:val="99"/>
    <w:rPr>
      <w:color w:val="0000FF"/>
      <w:u w:val="single"/>
    </w:rPr>
  </w:style>
  <w:style w:type="character" w:customStyle="1" w:styleId="9">
    <w:name w:val="HTML 预设格式 Char"/>
    <w:basedOn w:val="7"/>
    <w:link w:val="4"/>
    <w:qFormat/>
    <w:uiPriority w:val="99"/>
    <w:rPr>
      <w:rFonts w:ascii="PingFang SC" w:hAnsi="PingFang SC" w:eastAsia="PingFang SC"/>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5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348</Words>
  <Characters>1989</Characters>
  <Lines>16</Lines>
  <Paragraphs>4</Paragraphs>
  <TotalTime>4</TotalTime>
  <ScaleCrop>false</ScaleCrop>
  <LinksUpToDate>false</LinksUpToDate>
  <CharactersWithSpaces>2333</CharactersWithSpaces>
  <Application>WPS Office_11.1.0.9662_F1E327BC-269C-435d-A152-05C5408002CA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红豆 </cp:lastModifiedBy>
  <cp:lastPrinted>2019-12-20T03:17:00Z</cp:lastPrinted>
  <dcterms:modified xsi:type="dcterms:W3CDTF">2020-05-25T05:46:35Z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